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Default Extension="emf" ContentType="image/x-emf"/>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C7B4D" w:rsidRDefault="00CD172E">
      <w:pPr>
        <w:spacing w:after="0" w:line="240" w:lineRule="auto"/>
        <w:rPr>
          <w:rFonts w:ascii="Verdana" w:hAnsi="Verdana" w:cs="Verdana"/>
          <w:b/>
          <w:bCs/>
          <w:sz w:val="20"/>
          <w:szCs w:val="20"/>
        </w:rPr>
      </w:pPr>
      <w:r>
        <w:rPr>
          <w:noProof/>
          <w:lang w:eastAsia="it-IT"/>
        </w:rPr>
        <w:drawing>
          <wp:inline distT="0" distB="0" distL="0" distR="0">
            <wp:extent cx="2007235" cy="1152525"/>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9" t="-15" r="-9" b="-15"/>
                    <a:stretch>
                      <a:fillRect/>
                    </a:stretch>
                  </pic:blipFill>
                  <pic:spPr bwMode="auto">
                    <a:xfrm>
                      <a:off x="0" y="0"/>
                      <a:ext cx="2007235" cy="1152525"/>
                    </a:xfrm>
                    <a:prstGeom prst="rect">
                      <a:avLst/>
                    </a:prstGeom>
                    <a:solidFill>
                      <a:srgbClr val="FFFFFF"/>
                    </a:solidFill>
                    <a:ln w="9525">
                      <a:noFill/>
                      <a:miter lim="800000"/>
                      <a:headEnd/>
                      <a:tailEnd/>
                    </a:ln>
                  </pic:spPr>
                </pic:pic>
              </a:graphicData>
            </a:graphic>
          </wp:inline>
        </w:drawing>
      </w:r>
    </w:p>
    <w:p w:rsidR="00CC7B4D" w:rsidRDefault="00CC7B4D">
      <w:pPr>
        <w:spacing w:after="0" w:line="240" w:lineRule="auto"/>
        <w:rPr>
          <w:rFonts w:ascii="Verdana" w:hAnsi="Verdana" w:cs="Verdana"/>
          <w:b/>
          <w:bCs/>
          <w:sz w:val="20"/>
          <w:szCs w:val="20"/>
        </w:rPr>
      </w:pPr>
    </w:p>
    <w:p w:rsidR="00CC7B4D" w:rsidRDefault="00CC7B4D">
      <w:pPr>
        <w:spacing w:after="0"/>
      </w:pPr>
      <w:r>
        <w:rPr>
          <w:rFonts w:ascii="Tahoma" w:hAnsi="Tahoma" w:cs="Tahoma"/>
          <w:b/>
          <w:bCs/>
          <w:sz w:val="20"/>
        </w:rPr>
        <w:t>Venezia Sanità S.r.l.</w:t>
      </w:r>
    </w:p>
    <w:p w:rsidR="00CC7B4D" w:rsidRDefault="00CC7B4D">
      <w:pPr>
        <w:spacing w:after="0"/>
      </w:pPr>
      <w:r>
        <w:rPr>
          <w:rFonts w:ascii="Tahoma" w:hAnsi="Tahoma" w:cs="Tahoma"/>
          <w:b/>
          <w:bCs/>
          <w:sz w:val="20"/>
        </w:rPr>
        <w:t>Società con Socio Unico</w:t>
      </w:r>
    </w:p>
    <w:p w:rsidR="00CC7B4D" w:rsidRDefault="00CC7B4D">
      <w:pPr>
        <w:spacing w:after="0"/>
      </w:pPr>
      <w:r>
        <w:rPr>
          <w:rFonts w:ascii="Tahoma" w:hAnsi="Tahoma" w:cs="Tahoma"/>
          <w:b/>
          <w:bCs/>
          <w:sz w:val="20"/>
        </w:rPr>
        <w:t>C.S. interamente versato Euro 2.400.000,00</w:t>
      </w:r>
    </w:p>
    <w:p w:rsidR="00CC7B4D" w:rsidRDefault="00CC7B4D">
      <w:pPr>
        <w:spacing w:after="0"/>
      </w:pPr>
      <w:r>
        <w:rPr>
          <w:rFonts w:ascii="Tahoma" w:hAnsi="Tahoma" w:cs="Tahoma"/>
          <w:b/>
          <w:bCs/>
          <w:sz w:val="20"/>
        </w:rPr>
        <w:t>Società soggetta alla direzione e coordinamento dell’Azienda ULSS 3 Serenissima</w:t>
      </w:r>
    </w:p>
    <w:p w:rsidR="00CC7B4D" w:rsidRDefault="00CC7B4D">
      <w:pPr>
        <w:spacing w:after="0"/>
      </w:pPr>
      <w:r>
        <w:rPr>
          <w:rFonts w:ascii="Tahoma" w:hAnsi="Tahoma" w:cs="Tahoma"/>
          <w:b/>
          <w:bCs/>
          <w:sz w:val="20"/>
        </w:rPr>
        <w:t>CF e PI: 03334310277</w:t>
      </w:r>
    </w:p>
    <w:p w:rsidR="00CC7B4D" w:rsidRDefault="00EA3C3F">
      <w:pPr>
        <w:spacing w:after="0"/>
        <w:rPr>
          <w:rFonts w:ascii="Tahoma" w:hAnsi="Tahoma" w:cs="Tahoma"/>
          <w:sz w:val="20"/>
        </w:rPr>
      </w:pPr>
      <w:r w:rsidRPr="00EA3C3F">
        <w:pict>
          <v:shape id="shape_0" o:spid="_x0000_s1027" style="position:absolute;margin-left:1.05pt;margin-top:12.4pt;width:481.85pt;height:.05pt;z-index:251657728;mso-wrap-style:none;v-text-anchor:middle" coordsize="21600,21600" o:spt="100" adj="0,,0" path="m,l21600,21600e" filled="f" strokeweight=".53mm">
            <v:stroke joinstyle="round"/>
            <v:formulas>
              <v:f eqn="val 0"/>
              <v:f eqn="val 2"/>
            </v:formulas>
            <v:path gradientshapeok="t" o:connecttype="rect" textboxrect="0,0,21600,21600"/>
          </v:shape>
        </w:pict>
      </w:r>
    </w:p>
    <w:p w:rsidR="00CC7B4D" w:rsidRDefault="00CC7B4D">
      <w:pPr>
        <w:spacing w:after="0"/>
        <w:rPr>
          <w:rFonts w:ascii="Tahoma" w:hAnsi="Tahoma" w:cs="Tahoma"/>
        </w:rPr>
      </w:pPr>
    </w:p>
    <w:p w:rsidR="00CC7B4D" w:rsidRDefault="00CC7B4D">
      <w:pPr>
        <w:spacing w:after="0"/>
        <w:rPr>
          <w:rFonts w:ascii="Tahoma" w:hAnsi="Tahoma" w:cs="Tahoma"/>
        </w:rPr>
      </w:pPr>
    </w:p>
    <w:p w:rsidR="00CC7B4D" w:rsidRDefault="00CC7B4D">
      <w:pPr>
        <w:spacing w:after="0"/>
        <w:rPr>
          <w:rFonts w:ascii="Tahoma" w:hAnsi="Tahoma" w:cs="Tahoma"/>
        </w:rPr>
      </w:pPr>
    </w:p>
    <w:p w:rsidR="00CC7B4D" w:rsidRDefault="00CC7B4D">
      <w:pPr>
        <w:spacing w:after="0"/>
        <w:rPr>
          <w:rFonts w:ascii="Tahoma" w:hAnsi="Tahoma" w:cs="Tahoma"/>
          <w:sz w:val="56"/>
        </w:rPr>
      </w:pPr>
    </w:p>
    <w:p w:rsidR="00CC7B4D" w:rsidRDefault="00CC7B4D">
      <w:pPr>
        <w:spacing w:after="0"/>
        <w:rPr>
          <w:rFonts w:ascii="Tahoma" w:hAnsi="Tahoma" w:cs="Tahoma"/>
          <w:sz w:val="56"/>
        </w:rPr>
      </w:pPr>
    </w:p>
    <w:p w:rsidR="00CC7B4D" w:rsidRDefault="00CC7B4D">
      <w:pPr>
        <w:spacing w:after="0"/>
        <w:rPr>
          <w:rFonts w:ascii="Tahoma" w:hAnsi="Tahoma" w:cs="Tahoma"/>
          <w:sz w:val="56"/>
        </w:rPr>
      </w:pPr>
    </w:p>
    <w:p w:rsidR="00CC7B4D" w:rsidRDefault="00CC7B4D">
      <w:pPr>
        <w:spacing w:after="0" w:line="240" w:lineRule="auto"/>
        <w:jc w:val="center"/>
      </w:pPr>
      <w:r>
        <w:rPr>
          <w:rFonts w:ascii="Tahoma" w:hAnsi="Tahoma" w:cs="Tahoma"/>
          <w:b/>
          <w:bCs/>
          <w:sz w:val="52"/>
          <w:szCs w:val="56"/>
        </w:rPr>
        <w:t>PIANO TRIENNALE</w:t>
      </w:r>
    </w:p>
    <w:p w:rsidR="00CC7B4D" w:rsidRDefault="00CC7B4D">
      <w:pPr>
        <w:spacing w:after="0" w:line="240" w:lineRule="auto"/>
        <w:jc w:val="center"/>
      </w:pPr>
      <w:r>
        <w:rPr>
          <w:rFonts w:ascii="Tahoma" w:hAnsi="Tahoma" w:cs="Tahoma"/>
          <w:sz w:val="52"/>
          <w:szCs w:val="56"/>
        </w:rPr>
        <w:t>DI PREVENZIONE DELLA CORRUZIONE E</w:t>
      </w:r>
    </w:p>
    <w:p w:rsidR="00CC7B4D" w:rsidRDefault="00CC7B4D">
      <w:pPr>
        <w:spacing w:after="0" w:line="240" w:lineRule="auto"/>
        <w:jc w:val="center"/>
      </w:pPr>
      <w:r>
        <w:rPr>
          <w:rFonts w:ascii="Tahoma" w:hAnsi="Tahoma" w:cs="Tahoma"/>
          <w:sz w:val="52"/>
          <w:szCs w:val="56"/>
        </w:rPr>
        <w:t>DELLA TRASPARENZA</w:t>
      </w:r>
    </w:p>
    <w:p w:rsidR="00CC7B4D" w:rsidRDefault="00CC7B4D">
      <w:pPr>
        <w:spacing w:after="0"/>
        <w:rPr>
          <w:rFonts w:ascii="Tahoma" w:hAnsi="Tahoma" w:cs="Tahoma"/>
          <w:sz w:val="52"/>
          <w:szCs w:val="56"/>
        </w:rPr>
      </w:pPr>
    </w:p>
    <w:p w:rsidR="00CC7B4D" w:rsidRDefault="00CC7B4D">
      <w:pPr>
        <w:spacing w:after="0"/>
        <w:rPr>
          <w:rFonts w:ascii="Tahoma" w:hAnsi="Tahoma" w:cs="Tahoma"/>
          <w:sz w:val="52"/>
          <w:szCs w:val="56"/>
        </w:rPr>
      </w:pPr>
    </w:p>
    <w:p w:rsidR="00CC7B4D" w:rsidRDefault="00CC7B4D">
      <w:pPr>
        <w:spacing w:after="0"/>
        <w:rPr>
          <w:rFonts w:ascii="Tahoma" w:hAnsi="Tahoma" w:cs="Tahoma"/>
          <w:sz w:val="52"/>
          <w:szCs w:val="56"/>
        </w:rPr>
      </w:pPr>
    </w:p>
    <w:p w:rsidR="00CC7B4D" w:rsidRDefault="00CC7B4D">
      <w:pPr>
        <w:spacing w:after="0"/>
        <w:rPr>
          <w:rFonts w:ascii="Tahoma" w:hAnsi="Tahoma" w:cs="Tahoma"/>
          <w:sz w:val="52"/>
          <w:szCs w:val="56"/>
        </w:rPr>
      </w:pPr>
    </w:p>
    <w:p w:rsidR="00CC7B4D" w:rsidRDefault="00CC7B4D">
      <w:pPr>
        <w:spacing w:after="0"/>
        <w:rPr>
          <w:rFonts w:ascii="Tahoma" w:hAnsi="Tahoma" w:cs="Tahoma"/>
          <w:sz w:val="52"/>
          <w:szCs w:val="56"/>
        </w:rPr>
      </w:pPr>
    </w:p>
    <w:p w:rsidR="00CC7B4D" w:rsidRDefault="00CC7B4D">
      <w:pPr>
        <w:spacing w:after="0"/>
        <w:jc w:val="center"/>
        <w:rPr>
          <w:rFonts w:ascii="Tahoma" w:hAnsi="Tahoma" w:cs="Tahoma"/>
          <w:sz w:val="48"/>
          <w:szCs w:val="56"/>
        </w:rPr>
      </w:pPr>
    </w:p>
    <w:p w:rsidR="00CC7B4D" w:rsidRDefault="00CC7B4D">
      <w:pPr>
        <w:spacing w:after="0"/>
        <w:jc w:val="center"/>
      </w:pPr>
      <w:r>
        <w:rPr>
          <w:rFonts w:ascii="Tahoma" w:hAnsi="Tahoma" w:cs="Tahoma"/>
          <w:sz w:val="48"/>
          <w:szCs w:val="56"/>
        </w:rPr>
        <w:t>Triennio 20</w:t>
      </w:r>
      <w:r w:rsidR="0050101B">
        <w:rPr>
          <w:rFonts w:ascii="Tahoma" w:hAnsi="Tahoma" w:cs="Tahoma"/>
          <w:sz w:val="48"/>
          <w:szCs w:val="56"/>
        </w:rPr>
        <w:t>2</w:t>
      </w:r>
      <w:r w:rsidR="00E00CB0">
        <w:rPr>
          <w:rFonts w:ascii="Tahoma" w:hAnsi="Tahoma" w:cs="Tahoma"/>
          <w:sz w:val="48"/>
          <w:szCs w:val="56"/>
        </w:rPr>
        <w:t>4</w:t>
      </w:r>
      <w:r w:rsidR="00221AD9">
        <w:rPr>
          <w:rFonts w:ascii="Tahoma" w:hAnsi="Tahoma" w:cs="Tahoma"/>
          <w:sz w:val="48"/>
          <w:szCs w:val="56"/>
        </w:rPr>
        <w:t xml:space="preserve"> </w:t>
      </w:r>
      <w:r>
        <w:rPr>
          <w:rFonts w:ascii="Tahoma" w:hAnsi="Tahoma" w:cs="Tahoma"/>
          <w:sz w:val="48"/>
          <w:szCs w:val="56"/>
        </w:rPr>
        <w:t>- 202</w:t>
      </w:r>
      <w:r w:rsidR="00E00CB0">
        <w:rPr>
          <w:rFonts w:ascii="Tahoma" w:hAnsi="Tahoma" w:cs="Tahoma"/>
          <w:sz w:val="48"/>
          <w:szCs w:val="56"/>
        </w:rPr>
        <w:t>6</w:t>
      </w:r>
    </w:p>
    <w:p w:rsidR="00CC7B4D" w:rsidRDefault="00CC7B4D">
      <w:pPr>
        <w:pageBreakBefore/>
        <w:rPr>
          <w:rFonts w:ascii="Tahoma" w:hAnsi="Tahoma" w:cs="Tahoma"/>
          <w:b/>
          <w:bCs/>
          <w:sz w:val="56"/>
        </w:rPr>
      </w:pPr>
    </w:p>
    <w:p w:rsidR="00CC7B4D" w:rsidRDefault="00CC7B4D">
      <w:pPr>
        <w:pageBreakBefore/>
      </w:pPr>
      <w:r>
        <w:rPr>
          <w:rFonts w:ascii="Tahoma" w:hAnsi="Tahoma" w:cs="Tahoma"/>
          <w:b/>
          <w:bCs/>
        </w:rPr>
        <w:lastRenderedPageBreak/>
        <w:t>Premessa</w:t>
      </w:r>
    </w:p>
    <w:p w:rsidR="00CC7B4D" w:rsidRDefault="00CC7B4D">
      <w:pPr>
        <w:spacing w:after="0"/>
        <w:jc w:val="both"/>
      </w:pPr>
      <w:r>
        <w:rPr>
          <w:rFonts w:ascii="Tahoma" w:hAnsi="Tahoma" w:cs="Tahoma"/>
        </w:rPr>
        <w:t>Venezia Sanità s.r.l., in qualità di società a totale partecipazione dell’Azienda Ulss 3 Serenissima, come previsto dalla L. 190/12 e dall’Autorità Nazionale Anticorruzione (ANAC), ha avviato un intervento ai fini dell’adozione di un proprio Piano di prevenzione della corruzione. L’ANAC, infatti, nelle proprie linee guida in tema di società in controllo pubblico esplicita quanto segue.</w:t>
      </w:r>
    </w:p>
    <w:p w:rsidR="00CC7B4D" w:rsidRDefault="00CC7B4D">
      <w:pPr>
        <w:spacing w:after="0"/>
        <w:jc w:val="both"/>
      </w:pPr>
      <w:r>
        <w:rPr>
          <w:rFonts w:ascii="Tahoma" w:hAnsi="Tahoma" w:cs="Tahoma"/>
          <w:i/>
          <w:iCs/>
          <w:sz w:val="20"/>
          <w:szCs w:val="20"/>
        </w:rPr>
        <w:t>“La legge n. 190/2012 menziona espressamente tra i soggetti tenuti all’applicazione della normativa anticorruzione i soggetti di diritto privato sottoposti al controllo di regioni, province autonome e enti locali (art. 1, co. 60). Analoga disposizione non si rinviene per le società  controllate dallo Stato. Tuttavia, come visto sopra, numerose disposizioni normative della stessa legge n. 190/2012 e dei decreti delegati si riferiscono a questi soggetti. In considerazione di ciò e della espressa menzione dei soggetti di diritto privato in controllo delle autonomie territoriali, ad avviso dell’Autorità, secondo criteri di ragionevolezza e di proporzionalità, la norma non può che ricevere una interpretazione costituzionalmente orientata volta a ricomprendere nel novero dei destinatari anche gli enti di diritto privato controllati dalle amministrazioni centrali, atteso che gli stessi sono esposti ai medesimi rischi che il legislatore ha inteso prevenire con la normativa anticorruzione in relazione agli enti di diritto privato sottoposti al controllo da parte delle amministrazioni territoriali e alle amministrazioni pubbliche.</w:t>
      </w:r>
    </w:p>
    <w:p w:rsidR="00CC7B4D" w:rsidRDefault="00CC7B4D">
      <w:pPr>
        <w:spacing w:after="0"/>
        <w:jc w:val="both"/>
      </w:pPr>
      <w:r>
        <w:rPr>
          <w:rFonts w:ascii="Tahoma" w:hAnsi="Tahoma" w:cs="Tahoma"/>
          <w:i/>
          <w:iCs/>
          <w:sz w:val="20"/>
          <w:szCs w:val="20"/>
        </w:rPr>
        <w:t>Questa interpretazione sembra peraltro coerente con quanto previsto in materia di incompatibilità ed inconferibilità degli incarichi, dall’art. 15, co. 1, del d.lgs. n. 39 del 2013, da cui si evince che anche in ogni ente di diritto privato in controllo pubblico, nazionale o locale, debba essere nominato un responsabile del Piano anticorruzione di ciascuna amministrazione pubblica, ente pubblico e ente di diritto privato in controllo pubblico e adottato un Piano anticorruzione.</w:t>
      </w:r>
      <w:r>
        <w:rPr>
          <w:rFonts w:ascii="Tahoma" w:hAnsi="Tahoma" w:cs="Tahoma"/>
        </w:rPr>
        <w:t>”</w:t>
      </w:r>
    </w:p>
    <w:p w:rsidR="00CC7B4D" w:rsidRDefault="00CC7B4D">
      <w:pPr>
        <w:spacing w:after="0"/>
        <w:rPr>
          <w:rFonts w:ascii="Tahoma" w:hAnsi="Tahoma" w:cs="Tahoma"/>
          <w:b/>
          <w:bCs/>
        </w:rPr>
      </w:pPr>
    </w:p>
    <w:p w:rsidR="00CC7B4D" w:rsidRDefault="00CC7B4D">
      <w:pPr>
        <w:spacing w:after="0"/>
      </w:pPr>
      <w:r>
        <w:rPr>
          <w:rFonts w:ascii="Tahoma" w:hAnsi="Tahoma" w:cs="Tahoma"/>
          <w:b/>
          <w:bCs/>
        </w:rPr>
        <w:t>Il PTPCT - Piano Triennale Prevenzione Corruzione e della Trasparenza</w:t>
      </w:r>
    </w:p>
    <w:p w:rsidR="00CC7B4D" w:rsidRDefault="00CC7B4D">
      <w:pPr>
        <w:spacing w:after="0"/>
        <w:jc w:val="both"/>
      </w:pPr>
      <w:r>
        <w:rPr>
          <w:rFonts w:ascii="Tahoma" w:hAnsi="Tahoma" w:cs="Tahoma"/>
        </w:rPr>
        <w:t>La stesura del presente Piano Triennale Prevenzione Corruzione e della Trasparenza è in linea con le recenti e rilevanti modifiche normative intervenute in materia e rispetta le indicazioni del Piano Nazionale Anticorruzione 2016 (PNA), approvato con deliberazione ANAC n. 831/2016 e le integrazioni al precedente PNA, di cui alla determina ANAC n. 12/2015. Comprende, come sancito dal D. Lgs. 97/2016, il Programma Triennale per la Trasparenza e l'Integrità, ridefinendo ruoli, poteri e responsabilità dei soggetti interni che intervengono nei relativi processi.</w:t>
      </w:r>
    </w:p>
    <w:p w:rsidR="00CC7B4D" w:rsidRDefault="00CC7B4D">
      <w:pPr>
        <w:spacing w:after="0"/>
        <w:rPr>
          <w:rFonts w:ascii="Tahoma" w:hAnsi="Tahoma" w:cs="Tahoma"/>
          <w:b/>
          <w:bCs/>
        </w:rPr>
      </w:pPr>
    </w:p>
    <w:p w:rsidR="00CC7B4D" w:rsidRDefault="00CC7B4D">
      <w:pPr>
        <w:spacing w:after="0"/>
      </w:pPr>
      <w:r>
        <w:rPr>
          <w:rFonts w:ascii="Tahoma" w:hAnsi="Tahoma" w:cs="Tahoma"/>
          <w:b/>
          <w:bCs/>
        </w:rPr>
        <w:t>Oggetto e Finalità</w:t>
      </w:r>
    </w:p>
    <w:p w:rsidR="00CC7B4D" w:rsidRDefault="00CC7B4D">
      <w:pPr>
        <w:spacing w:after="0"/>
        <w:jc w:val="both"/>
      </w:pPr>
      <w:r>
        <w:rPr>
          <w:rFonts w:ascii="Tahoma" w:eastAsia="Times New Roman" w:hAnsi="Tahoma" w:cs="Tahoma"/>
        </w:rPr>
        <w:t>Venezia Sanità s.r.l. adotta il presente documento con l’obiettivo di fornire una valutazione del diverso grado di esposizione delle articolazioni societarie al rischio di corruzione, di individuare le aree di attività amministrativa maggiormente esposte a tale tipo di rischio, a partire dalle attività che la legge n. 190/2012 già considera come tali - quelle previste dall’art.1, comma 16, lettere a),b),c) e d) - e di adottare le misure necessarie, in aggiunta a quelle già esistenti, per la prevenzione e il contrasto della corruzione e, più in generale, dell’illegalità.</w:t>
      </w:r>
    </w:p>
    <w:p w:rsidR="00CC7B4D" w:rsidRDefault="00CC7B4D">
      <w:pPr>
        <w:spacing w:after="0"/>
        <w:jc w:val="both"/>
      </w:pPr>
      <w:r>
        <w:rPr>
          <w:rFonts w:ascii="Tahoma" w:hAnsi="Tahoma" w:cs="Tahoma"/>
        </w:rPr>
        <w:t>Deve esser previsto l’utilizzo degli strumenti dell’integrità e della trasparenza quali strategie di crescita e di sviluppo per delineare nuovi obiettivi organizzativi e individuali.</w:t>
      </w:r>
    </w:p>
    <w:p w:rsidR="00CC7B4D" w:rsidRDefault="00CC7B4D">
      <w:pPr>
        <w:spacing w:after="0"/>
        <w:jc w:val="both"/>
        <w:rPr>
          <w:rFonts w:ascii="Tahoma" w:hAnsi="Tahoma" w:cs="Tahoma"/>
        </w:rPr>
      </w:pPr>
    </w:p>
    <w:p w:rsidR="00CC7B4D" w:rsidRDefault="00CC7B4D">
      <w:pPr>
        <w:spacing w:after="0"/>
      </w:pPr>
      <w:r>
        <w:rPr>
          <w:rFonts w:ascii="Tahoma" w:hAnsi="Tahoma" w:cs="Tahoma"/>
          <w:b/>
          <w:bCs/>
        </w:rPr>
        <w:t>Definizione di corruzione</w:t>
      </w:r>
    </w:p>
    <w:p w:rsidR="00CC7B4D" w:rsidRDefault="00CC7B4D">
      <w:pPr>
        <w:spacing w:after="0"/>
        <w:jc w:val="both"/>
      </w:pPr>
      <w:r>
        <w:rPr>
          <w:rFonts w:ascii="Tahoma" w:hAnsi="Tahoma" w:cs="Tahoma"/>
        </w:rPr>
        <w:t>La legge non fornisce una definizione della "corruzione", che viene quindi data per presupposta, tuttavia nella norma il concetto di corruzione è da intendersi in senso lato come comprensivo delle varie situazioni in cui, nel corso dell’attività amministrativa, si riscontri l’abuso da parte di un soggetto del potere a lui affidato al fine di ottenere vantaggi privati, anche non patrimoniali.</w:t>
      </w:r>
    </w:p>
    <w:p w:rsidR="00CC7B4D" w:rsidRDefault="00CC7B4D">
      <w:pPr>
        <w:spacing w:after="0"/>
        <w:jc w:val="both"/>
      </w:pPr>
      <w:r>
        <w:rPr>
          <w:rFonts w:ascii="Tahoma" w:hAnsi="Tahoma" w:cs="Tahoma"/>
        </w:rPr>
        <w:t xml:space="preserve">Per “Corruzione” e “Illecito” in Azienda si intende, oltre al reato di corruzione e del complesso dei reati contro la pubblica amministrazione, anche la “maladministration”, intesa come assunzione di </w:t>
      </w:r>
      <w:r>
        <w:rPr>
          <w:rFonts w:ascii="Tahoma" w:hAnsi="Tahoma" w:cs="Tahoma"/>
        </w:rPr>
        <w:lastRenderedPageBreak/>
        <w:t>decisioni devianti dalla cura dell’interesse generale o volti alla non evidente migliore amministrazione (spreco) delle risorse a causa del condizionamento improprio da parte di interessi particolari. Nella definizione di “Corruzione” o “Illecito” sono quindi inclusi anche tutti quei comportamenti che, anche se non consistenti in specifici reati, contrastano con la cura dell'interesse pubblico, danneggiano l'immagine dell'Azienda e pregiudicano l'affidamento dei cittadini nell'imparzialità, nella trasparenza e nell'integrità dell'agire dell'Azienda.</w:t>
      </w:r>
    </w:p>
    <w:p w:rsidR="00CC7B4D" w:rsidRDefault="00CC7B4D">
      <w:pPr>
        <w:spacing w:after="0"/>
        <w:jc w:val="both"/>
      </w:pPr>
      <w:r>
        <w:rPr>
          <w:rFonts w:ascii="Tahoma" w:hAnsi="Tahoma" w:cs="Tahoma"/>
        </w:rPr>
        <w:t>A supporto della norma vengono individuate motivazioni e strumenti di trasparenza, per consentire il controllo dei cittadini e l’adeguamento dell’ordinamento giuridico italiano agli standards internazionali, oltre alla diretta attuazione del principio di imparzialità di cui all’art. 97 della Costituzione.</w:t>
      </w:r>
    </w:p>
    <w:p w:rsidR="00CC7B4D" w:rsidRDefault="00CC7B4D">
      <w:pPr>
        <w:spacing w:after="0"/>
        <w:jc w:val="both"/>
        <w:rPr>
          <w:rFonts w:ascii="Tahoma" w:hAnsi="Tahoma" w:cs="Tahoma"/>
          <w:highlight w:val="yellow"/>
        </w:rPr>
      </w:pPr>
    </w:p>
    <w:p w:rsidR="00CC7B4D" w:rsidRDefault="00CC7B4D">
      <w:pPr>
        <w:spacing w:after="0"/>
      </w:pPr>
      <w:r>
        <w:rPr>
          <w:rFonts w:ascii="Tahoma" w:hAnsi="Tahoma" w:cs="Tahoma"/>
          <w:b/>
          <w:bCs/>
        </w:rPr>
        <w:t>Struttura del Piano, procedimenti per l’adozione e l’aggiornamento</w:t>
      </w:r>
    </w:p>
    <w:p w:rsidR="00CC7B4D" w:rsidRDefault="00CC7B4D">
      <w:pPr>
        <w:spacing w:after="0"/>
        <w:jc w:val="both"/>
      </w:pPr>
      <w:r>
        <w:rPr>
          <w:rFonts w:ascii="Tahoma" w:eastAsia="Times New Roman" w:hAnsi="Tahoma" w:cs="Tahoma"/>
        </w:rPr>
        <w:t>Il Piano Triennale di Prevenzione della Corruzione si presenta come un insieme di strumenti finalizzati alla prevenzione che, come affermato dalle Linee di indirizzo del Comitato ministeriale di cui al D.P.C.M. 16 gennaio 2013, vengono “via via affinati, modificati o sostituiti in relazione al feedback ottenuto dalla loro applicazione”.</w:t>
      </w:r>
    </w:p>
    <w:p w:rsidR="00CC7B4D" w:rsidRDefault="00CC7B4D">
      <w:pPr>
        <w:spacing w:after="0"/>
        <w:jc w:val="both"/>
      </w:pPr>
      <w:r>
        <w:rPr>
          <w:rFonts w:ascii="Tahoma" w:eastAsia="Times New Roman" w:hAnsi="Tahoma" w:cs="Tahoma"/>
        </w:rPr>
        <w:t>Il presente PTPC contiene oltre alla parte introduttiva, dedicata alle finalità ed agli obiettivi da raggiungere, ai soggetti coinvolti nel processo di gestione del rischio di corruzione con le relative responsabilità ed al modello di gestione del rischio adottato ed alle aree a rischio individuate a seguito della sua applicazione, la parte dedicata alle misure di prevenzione del rischio.</w:t>
      </w:r>
    </w:p>
    <w:p w:rsidR="00CC7B4D" w:rsidRDefault="00CC7B4D">
      <w:pPr>
        <w:spacing w:after="0"/>
        <w:jc w:val="both"/>
        <w:rPr>
          <w:rFonts w:ascii="Tahoma" w:eastAsia="Times New Roman" w:hAnsi="Tahoma" w:cs="Tahoma"/>
        </w:rPr>
      </w:pPr>
    </w:p>
    <w:p w:rsidR="00CC7B4D" w:rsidRDefault="00CC7B4D">
      <w:pPr>
        <w:spacing w:after="0"/>
        <w:jc w:val="both"/>
      </w:pPr>
      <w:r>
        <w:rPr>
          <w:rFonts w:ascii="Tahoma" w:eastAsia="Times New Roman" w:hAnsi="Tahoma" w:cs="Tahoma"/>
        </w:rPr>
        <w:t>Costituisce, altresì, parte sostanziale ed integrante del PTCP il Codice di Comportamento.</w:t>
      </w:r>
    </w:p>
    <w:p w:rsidR="00CC7B4D" w:rsidRDefault="00CC7B4D">
      <w:pPr>
        <w:spacing w:after="0"/>
        <w:jc w:val="both"/>
        <w:rPr>
          <w:rFonts w:ascii="Tahoma" w:eastAsia="Times New Roman" w:hAnsi="Tahoma" w:cs="Tahoma"/>
          <w:highlight w:val="yellow"/>
        </w:rPr>
      </w:pPr>
    </w:p>
    <w:p w:rsidR="00CC7B4D" w:rsidRDefault="00CC7B4D">
      <w:pPr>
        <w:spacing w:after="0"/>
        <w:jc w:val="both"/>
      </w:pPr>
      <w:r>
        <w:rPr>
          <w:rFonts w:ascii="Tahoma" w:eastAsia="Times New Roman" w:hAnsi="Tahoma" w:cs="Tahoma"/>
        </w:rPr>
        <w:t>Nell’impostazione del sistema della Prevenzione della Corruzione e della Trasparenza, si sono aggiunte novità significative, quali:</w:t>
      </w:r>
    </w:p>
    <w:p w:rsidR="00CC7B4D" w:rsidRPr="001C141F" w:rsidRDefault="001C141F" w:rsidP="001C141F">
      <w:pPr>
        <w:pStyle w:val="Paragrafoelenco"/>
        <w:spacing w:after="0"/>
        <w:ind w:left="0"/>
        <w:jc w:val="both"/>
        <w:rPr>
          <w:rFonts w:ascii="Tahoma" w:eastAsia="Times New Roman" w:hAnsi="Tahoma" w:cs="Tahoma"/>
        </w:rPr>
      </w:pPr>
      <w:r>
        <w:rPr>
          <w:rFonts w:ascii="Tahoma" w:eastAsia="Times New Roman" w:hAnsi="Tahoma" w:cs="Tahoma"/>
        </w:rPr>
        <w:t xml:space="preserve">-   </w:t>
      </w:r>
      <w:r w:rsidR="00CC7B4D">
        <w:rPr>
          <w:rFonts w:ascii="Tahoma" w:eastAsia="Times New Roman" w:hAnsi="Tahoma" w:cs="Tahoma"/>
        </w:rPr>
        <w:t>il nuovo ac</w:t>
      </w:r>
      <w:r>
        <w:rPr>
          <w:rFonts w:ascii="Tahoma" w:eastAsia="Times New Roman" w:hAnsi="Tahoma" w:cs="Tahoma"/>
        </w:rPr>
        <w:t xml:space="preserve">cesso civico, </w:t>
      </w:r>
      <w:r w:rsidRPr="001C141F">
        <w:rPr>
          <w:rFonts w:ascii="Tahoma" w:eastAsia="Times New Roman" w:hAnsi="Tahoma" w:cs="Tahoma"/>
        </w:rPr>
        <w:t>come modificato dal Decreto legisl</w:t>
      </w:r>
      <w:r>
        <w:rPr>
          <w:rFonts w:ascii="Tahoma" w:eastAsia="Times New Roman" w:hAnsi="Tahoma" w:cs="Tahoma"/>
        </w:rPr>
        <w:t xml:space="preserve">ativo 25 maggio 2016, n. 97, con gli    </w:t>
      </w:r>
      <w:r w:rsidRPr="001C141F">
        <w:rPr>
          <w:rFonts w:ascii="Tahoma" w:eastAsia="Times New Roman" w:hAnsi="Tahoma" w:cs="Tahoma"/>
        </w:rPr>
        <w:t>istituti dell’accesso civico (cosiddetto “semplice”) e dell’accesso civico generalizzato</w:t>
      </w:r>
      <w:r w:rsidR="00CC7B4D" w:rsidRPr="001C141F">
        <w:rPr>
          <w:rFonts w:ascii="Tahoma" w:eastAsia="Times New Roman" w:hAnsi="Tahoma" w:cs="Tahoma"/>
        </w:rPr>
        <w:t>;</w:t>
      </w:r>
    </w:p>
    <w:p w:rsidR="00CC7B4D" w:rsidRDefault="00CC7B4D">
      <w:pPr>
        <w:pStyle w:val="Paragrafoelenco"/>
        <w:numPr>
          <w:ilvl w:val="0"/>
          <w:numId w:val="14"/>
        </w:numPr>
        <w:spacing w:after="0"/>
        <w:ind w:left="360"/>
        <w:jc w:val="both"/>
      </w:pPr>
      <w:r>
        <w:rPr>
          <w:rFonts w:ascii="Tahoma" w:eastAsia="Times New Roman" w:hAnsi="Tahoma" w:cs="Tahoma"/>
        </w:rPr>
        <w:t>la semplificazione di una serie di adempimenti originariamente previsti dal D.Lgs. n. 33/2013;</w:t>
      </w:r>
    </w:p>
    <w:p w:rsidR="00CC7B4D" w:rsidRDefault="00CC7B4D">
      <w:pPr>
        <w:pStyle w:val="Paragrafoelenco"/>
        <w:numPr>
          <w:ilvl w:val="0"/>
          <w:numId w:val="14"/>
        </w:numPr>
        <w:spacing w:after="0"/>
        <w:ind w:left="360"/>
        <w:jc w:val="both"/>
      </w:pPr>
      <w:r>
        <w:rPr>
          <w:rFonts w:ascii="Tahoma" w:eastAsia="Times New Roman" w:hAnsi="Tahoma" w:cs="Tahoma"/>
        </w:rPr>
        <w:t>la pubblicazione obbligatoria delle misure integrative della prevenzione, dei documenti di programmazione strategico-gestionale e degli atti degli OIV.</w:t>
      </w:r>
    </w:p>
    <w:p w:rsidR="00CC7B4D" w:rsidRDefault="00CC7B4D">
      <w:pPr>
        <w:spacing w:after="0"/>
        <w:jc w:val="both"/>
        <w:rPr>
          <w:rFonts w:ascii="Tahoma" w:eastAsia="Times New Roman" w:hAnsi="Tahoma" w:cs="Tahoma"/>
        </w:rPr>
      </w:pPr>
    </w:p>
    <w:p w:rsidR="00CC7B4D" w:rsidRDefault="00CC7B4D">
      <w:pPr>
        <w:spacing w:after="0"/>
        <w:jc w:val="both"/>
      </w:pPr>
      <w:r>
        <w:rPr>
          <w:rFonts w:ascii="Tahoma" w:eastAsia="Times New Roman" w:hAnsi="Tahoma" w:cs="Tahoma"/>
        </w:rPr>
        <w:t>Il PTCP è adottato, nei termini di legge, con determina dell’Amministratore Unico, quale organo amministrativo di vertice, su proposta del Responsabile della Prevenzione della Corruzione e pubblicato sul sito internet nell’apposita sezione dedicata all’anticorruzione.</w:t>
      </w:r>
    </w:p>
    <w:p w:rsidR="00CC7B4D" w:rsidRDefault="00CC7B4D">
      <w:pPr>
        <w:spacing w:after="0"/>
        <w:rPr>
          <w:rFonts w:ascii="Tahoma" w:eastAsia="Times New Roman" w:hAnsi="Tahoma" w:cs="Tahoma"/>
          <w:b/>
          <w:bCs/>
        </w:rPr>
      </w:pPr>
    </w:p>
    <w:p w:rsidR="00CC7B4D" w:rsidRDefault="00CC7B4D">
      <w:pPr>
        <w:spacing w:after="0"/>
      </w:pPr>
      <w:r>
        <w:rPr>
          <w:rFonts w:ascii="Tahoma" w:hAnsi="Tahoma" w:cs="Tahoma"/>
          <w:b/>
          <w:bCs/>
        </w:rPr>
        <w:t>Gestione del rischio di corruzione</w:t>
      </w:r>
    </w:p>
    <w:p w:rsidR="00CC7B4D" w:rsidRDefault="00CC7B4D">
      <w:pPr>
        <w:spacing w:after="0"/>
        <w:jc w:val="both"/>
      </w:pPr>
      <w:r>
        <w:rPr>
          <w:rFonts w:ascii="Tahoma" w:hAnsi="Tahoma" w:cs="Tahoma"/>
        </w:rPr>
        <w:t>Per gestione del rischio si intende l’insieme delle attività coordinate per guidare e tenere sotto controllo la Società con riferimento al rischio.</w:t>
      </w:r>
    </w:p>
    <w:p w:rsidR="00CC7B4D" w:rsidRDefault="00CC7B4D">
      <w:pPr>
        <w:spacing w:after="0"/>
        <w:jc w:val="both"/>
      </w:pPr>
      <w:r>
        <w:rPr>
          <w:rFonts w:ascii="Tahoma" w:hAnsi="Tahoma" w:cs="Tahoma"/>
        </w:rPr>
        <w:t>La gestione del rischio di corruzione è lo strumento da utilizzare per la riduzione delle probabilità che il rischio si verifichi.</w:t>
      </w:r>
    </w:p>
    <w:p w:rsidR="00CC7B4D" w:rsidRDefault="00CC7B4D">
      <w:pPr>
        <w:spacing w:after="0"/>
        <w:jc w:val="both"/>
      </w:pPr>
      <w:r>
        <w:rPr>
          <w:rFonts w:ascii="Tahoma" w:hAnsi="Tahoma" w:cs="Tahoma"/>
        </w:rPr>
        <w:t xml:space="preserve">L’aggiornamento del PNA del 28 ottobre 2015 fornisce alcune indicazioni metodologiche che, in </w:t>
      </w:r>
      <w:r>
        <w:rPr>
          <w:rFonts w:ascii="Tahoma" w:hAnsi="Tahoma" w:cs="Tahoma"/>
          <w:szCs w:val="24"/>
        </w:rPr>
        <w:t>sintesi, riguardano:</w:t>
      </w:r>
    </w:p>
    <w:p w:rsidR="00CC7B4D" w:rsidRDefault="00CC7B4D">
      <w:pPr>
        <w:pStyle w:val="Paragrafoelenco"/>
        <w:numPr>
          <w:ilvl w:val="0"/>
          <w:numId w:val="17"/>
        </w:numPr>
        <w:spacing w:after="0"/>
        <w:jc w:val="both"/>
      </w:pPr>
      <w:r>
        <w:rPr>
          <w:rFonts w:ascii="Tahoma" w:hAnsi="Tahoma" w:cs="Tahoma"/>
          <w:szCs w:val="24"/>
        </w:rPr>
        <w:t>l’analisi del contesto;</w:t>
      </w:r>
    </w:p>
    <w:p w:rsidR="00CC7B4D" w:rsidRDefault="00CC7B4D">
      <w:pPr>
        <w:pStyle w:val="Paragrafoelenco"/>
        <w:numPr>
          <w:ilvl w:val="0"/>
          <w:numId w:val="17"/>
        </w:numPr>
        <w:spacing w:after="0"/>
        <w:jc w:val="both"/>
      </w:pPr>
      <w:r>
        <w:rPr>
          <w:rFonts w:ascii="Tahoma" w:hAnsi="Tahoma" w:cs="Tahoma"/>
          <w:szCs w:val="24"/>
        </w:rPr>
        <w:t>la mappatura dei processi, che si raccomanda sia effettuata su tutta l’attività svolta dalla società;</w:t>
      </w:r>
    </w:p>
    <w:p w:rsidR="00CC7B4D" w:rsidRDefault="00CC7B4D">
      <w:pPr>
        <w:pStyle w:val="Paragrafoelenco"/>
        <w:numPr>
          <w:ilvl w:val="0"/>
          <w:numId w:val="17"/>
        </w:numPr>
        <w:spacing w:after="0"/>
        <w:jc w:val="both"/>
      </w:pPr>
      <w:r>
        <w:rPr>
          <w:rFonts w:ascii="Tahoma" w:hAnsi="Tahoma" w:cs="Tahoma"/>
          <w:szCs w:val="24"/>
        </w:rPr>
        <w:t>la valutazione del rischio, in cui è necessario tenere conto delle cause degli eventi rischiosi;</w:t>
      </w:r>
    </w:p>
    <w:p w:rsidR="00CC7B4D" w:rsidRPr="00452379" w:rsidRDefault="00CC7B4D">
      <w:pPr>
        <w:pStyle w:val="Paragrafoelenco"/>
        <w:numPr>
          <w:ilvl w:val="0"/>
          <w:numId w:val="17"/>
        </w:numPr>
        <w:spacing w:after="0"/>
        <w:jc w:val="both"/>
        <w:rPr>
          <w:rFonts w:ascii="Tahoma" w:hAnsi="Tahoma" w:cs="Tahoma"/>
          <w:szCs w:val="24"/>
        </w:rPr>
      </w:pPr>
      <w:r>
        <w:rPr>
          <w:rFonts w:ascii="Tahoma" w:hAnsi="Tahoma" w:cs="Tahoma"/>
          <w:szCs w:val="24"/>
        </w:rPr>
        <w:lastRenderedPageBreak/>
        <w:t>il trattamento del rischio, che deve consistere in misure concrete, sostenibili e verificabili.</w:t>
      </w:r>
    </w:p>
    <w:p w:rsidR="00452379" w:rsidRDefault="00452379" w:rsidP="00452379">
      <w:pPr>
        <w:spacing w:after="0"/>
        <w:rPr>
          <w:rFonts w:ascii="Tahoma" w:hAnsi="Tahoma" w:cs="Tahoma"/>
          <w:b/>
          <w:bCs/>
        </w:rPr>
      </w:pPr>
    </w:p>
    <w:p w:rsidR="00CC7B4D" w:rsidRPr="00452379" w:rsidRDefault="00CC7B4D" w:rsidP="00452379">
      <w:pPr>
        <w:spacing w:after="0"/>
        <w:rPr>
          <w:rFonts w:ascii="Tahoma" w:hAnsi="Tahoma" w:cs="Tahoma"/>
          <w:b/>
          <w:bCs/>
        </w:rPr>
      </w:pPr>
      <w:r w:rsidRPr="001C141F">
        <w:rPr>
          <w:rFonts w:ascii="Tahoma" w:hAnsi="Tahoma" w:cs="Tahoma"/>
          <w:b/>
          <w:bCs/>
        </w:rPr>
        <w:t>Fasi della gestione del rischio</w:t>
      </w:r>
    </w:p>
    <w:p w:rsidR="00CC7B4D" w:rsidRDefault="00CC7B4D">
      <w:pPr>
        <w:spacing w:after="0"/>
        <w:jc w:val="both"/>
      </w:pPr>
      <w:r>
        <w:rPr>
          <w:rFonts w:ascii="Tahoma" w:eastAsia="Times New Roman" w:hAnsi="Tahoma" w:cs="Tahoma"/>
          <w:szCs w:val="24"/>
        </w:rPr>
        <w:t>Le principali fasi del processo di gestione del rischio sono rappresentate sinteticamente dalla figura</w:t>
      </w:r>
    </w:p>
    <w:p w:rsidR="00CC7B4D" w:rsidRDefault="00CD172E">
      <w:pPr>
        <w:jc w:val="both"/>
        <w:rPr>
          <w:rFonts w:ascii="Tahoma" w:eastAsia="Times New Roman" w:hAnsi="Tahoma" w:cs="Tahoma"/>
          <w:b/>
          <w:sz w:val="24"/>
          <w:szCs w:val="24"/>
          <w:lang w:eastAsia="it-IT"/>
        </w:rPr>
      </w:pPr>
      <w:r>
        <w:rPr>
          <w:noProof/>
          <w:lang w:eastAsia="it-IT"/>
        </w:rPr>
        <w:drawing>
          <wp:anchor distT="304800" distB="528320" distL="0" distR="114935" simplePos="0" relativeHeight="251656704" behindDoc="1" locked="0" layoutInCell="1" allowOverlap="1">
            <wp:simplePos x="0" y="0"/>
            <wp:positionH relativeFrom="column">
              <wp:posOffset>0</wp:posOffset>
            </wp:positionH>
            <wp:positionV relativeFrom="paragraph">
              <wp:posOffset>440055</wp:posOffset>
            </wp:positionV>
            <wp:extent cx="5589270" cy="2370455"/>
            <wp:effectExtent l="19050" t="0" r="0" b="0"/>
            <wp:wrapTight wrapText="bothSides">
              <wp:wrapPolygon edited="0">
                <wp:start x="-74" y="0"/>
                <wp:lineTo x="-74" y="21351"/>
                <wp:lineTo x="21571" y="21351"/>
                <wp:lineTo x="21571" y="0"/>
                <wp:lineTo x="-74" y="0"/>
              </wp:wrapPolygon>
            </wp:wrapTigh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l="-11" t="-26" r="-11" b="-26"/>
                    <a:stretch>
                      <a:fillRect/>
                    </a:stretch>
                  </pic:blipFill>
                  <pic:spPr bwMode="auto">
                    <a:xfrm>
                      <a:off x="0" y="0"/>
                      <a:ext cx="5589270" cy="2370455"/>
                    </a:xfrm>
                    <a:prstGeom prst="rect">
                      <a:avLst/>
                    </a:prstGeom>
                    <a:solidFill>
                      <a:srgbClr val="FFFFFF"/>
                    </a:solidFill>
                    <a:ln w="9525">
                      <a:noFill/>
                      <a:miter lim="800000"/>
                      <a:headEnd/>
                      <a:tailEnd/>
                    </a:ln>
                  </pic:spPr>
                </pic:pic>
              </a:graphicData>
            </a:graphic>
          </wp:anchor>
        </w:drawing>
      </w:r>
    </w:p>
    <w:p w:rsidR="00CC7B4D" w:rsidRDefault="00CC7B4D">
      <w:pPr>
        <w:jc w:val="both"/>
        <w:rPr>
          <w:rFonts w:ascii="Tahoma" w:eastAsia="Times New Roman" w:hAnsi="Tahoma" w:cs="Tahoma"/>
          <w:b/>
          <w:sz w:val="24"/>
          <w:szCs w:val="24"/>
        </w:rPr>
      </w:pPr>
    </w:p>
    <w:p w:rsidR="00CC7B4D" w:rsidRDefault="00CC7B4D">
      <w:pPr>
        <w:jc w:val="both"/>
        <w:rPr>
          <w:rFonts w:ascii="Tahoma" w:eastAsia="Times New Roman" w:hAnsi="Tahoma" w:cs="Tahoma"/>
          <w:b/>
          <w:sz w:val="24"/>
          <w:szCs w:val="24"/>
        </w:rPr>
      </w:pPr>
    </w:p>
    <w:p w:rsidR="00CC7B4D" w:rsidRDefault="00CC7B4D">
      <w:pPr>
        <w:jc w:val="both"/>
        <w:rPr>
          <w:rFonts w:ascii="Tahoma" w:eastAsia="Times New Roman" w:hAnsi="Tahoma" w:cs="Tahoma"/>
          <w:b/>
          <w:sz w:val="24"/>
          <w:szCs w:val="24"/>
        </w:rPr>
      </w:pPr>
    </w:p>
    <w:p w:rsidR="00CC7B4D" w:rsidRDefault="00CC7B4D">
      <w:pPr>
        <w:jc w:val="both"/>
        <w:rPr>
          <w:rFonts w:ascii="Tahoma" w:eastAsia="Times New Roman" w:hAnsi="Tahoma" w:cs="Tahoma"/>
          <w:b/>
          <w:sz w:val="24"/>
          <w:szCs w:val="24"/>
        </w:rPr>
      </w:pPr>
    </w:p>
    <w:p w:rsidR="00CC7B4D" w:rsidRDefault="00CC7B4D">
      <w:pPr>
        <w:jc w:val="both"/>
        <w:rPr>
          <w:rFonts w:ascii="Tahoma" w:eastAsia="Times New Roman" w:hAnsi="Tahoma" w:cs="Tahoma"/>
          <w:b/>
          <w:sz w:val="24"/>
          <w:szCs w:val="24"/>
        </w:rPr>
      </w:pPr>
    </w:p>
    <w:p w:rsidR="00CC7B4D" w:rsidRDefault="00CC7B4D">
      <w:pPr>
        <w:jc w:val="both"/>
        <w:rPr>
          <w:rFonts w:ascii="Tahoma" w:eastAsia="Times New Roman" w:hAnsi="Tahoma" w:cs="Tahoma"/>
          <w:b/>
          <w:sz w:val="24"/>
          <w:szCs w:val="24"/>
        </w:rPr>
      </w:pPr>
    </w:p>
    <w:p w:rsidR="00CC7B4D" w:rsidRDefault="00CC7B4D">
      <w:pPr>
        <w:jc w:val="both"/>
        <w:rPr>
          <w:rFonts w:ascii="Tahoma" w:eastAsia="Times New Roman" w:hAnsi="Tahoma" w:cs="Tahoma"/>
          <w:b/>
          <w:sz w:val="24"/>
          <w:szCs w:val="24"/>
        </w:rPr>
      </w:pPr>
    </w:p>
    <w:p w:rsidR="001C141F" w:rsidRDefault="001C141F">
      <w:pPr>
        <w:spacing w:after="0"/>
        <w:jc w:val="both"/>
        <w:rPr>
          <w:rFonts w:ascii="Tahoma" w:hAnsi="Tahoma" w:cs="Tahoma"/>
        </w:rPr>
      </w:pPr>
    </w:p>
    <w:p w:rsidR="001C141F" w:rsidRDefault="001C141F">
      <w:pPr>
        <w:spacing w:after="0"/>
        <w:jc w:val="both"/>
        <w:rPr>
          <w:rFonts w:ascii="Tahoma" w:hAnsi="Tahoma" w:cs="Tahoma"/>
        </w:rPr>
      </w:pPr>
    </w:p>
    <w:p w:rsidR="00CC7B4D" w:rsidRDefault="00CC7B4D">
      <w:pPr>
        <w:spacing w:after="0"/>
        <w:jc w:val="both"/>
      </w:pPr>
      <w:r>
        <w:rPr>
          <w:rFonts w:ascii="Tahoma" w:hAnsi="Tahoma" w:cs="Tahoma"/>
        </w:rPr>
        <w:t>A tali fasi vanno aggiunte le fasi trasversali della comunicazione e consultazione nonché del monitoraggio e riesame.</w:t>
      </w:r>
    </w:p>
    <w:p w:rsidR="00CC7B4D" w:rsidRDefault="00CC7B4D">
      <w:pPr>
        <w:spacing w:after="0"/>
        <w:jc w:val="both"/>
        <w:rPr>
          <w:rFonts w:ascii="Tahoma" w:hAnsi="Tahoma" w:cs="Tahoma"/>
        </w:rPr>
      </w:pPr>
    </w:p>
    <w:p w:rsidR="00CC7B4D" w:rsidRDefault="00CC7B4D">
      <w:pPr>
        <w:spacing w:after="0"/>
      </w:pPr>
      <w:r>
        <w:rPr>
          <w:rFonts w:ascii="Tahoma" w:hAnsi="Tahoma" w:cs="Tahoma"/>
          <w:b/>
          <w:bCs/>
        </w:rPr>
        <w:t>Analisi del Contesto</w:t>
      </w:r>
    </w:p>
    <w:p w:rsidR="00CC7B4D" w:rsidRDefault="00CC7B4D">
      <w:pPr>
        <w:spacing w:after="0"/>
        <w:jc w:val="both"/>
        <w:rPr>
          <w:rFonts w:ascii="Tahoma" w:hAnsi="Tahoma" w:cs="Tahoma"/>
        </w:rPr>
      </w:pPr>
      <w:r>
        <w:rPr>
          <w:rFonts w:ascii="Tahoma" w:hAnsi="Tahoma" w:cs="Tahoma"/>
        </w:rPr>
        <w:t>Attraverso l’analisi del contesto è possibile ottenere le informazioni necessarie su come il rischio corruttivo possa verificarsi all’interno della Società per via delle specificità dell’ambiente in cui essa opera in termini di dinamiche sociali, economiche e culturali o per via delle caratteristiche organizzative interne.</w:t>
      </w:r>
    </w:p>
    <w:p w:rsidR="007F38FC" w:rsidRDefault="007F38FC" w:rsidP="007F38FC">
      <w:pPr>
        <w:spacing w:after="0"/>
        <w:jc w:val="both"/>
        <w:rPr>
          <w:rFonts w:ascii="Tahoma" w:hAnsi="Tahoma" w:cs="Tahoma"/>
          <w:bCs/>
        </w:rPr>
      </w:pPr>
    </w:p>
    <w:p w:rsidR="00B4470B" w:rsidRPr="00370D83" w:rsidRDefault="00B4470B" w:rsidP="00B4470B">
      <w:pPr>
        <w:pStyle w:val="MSGENFONTSTYLENAMETEMPLATEROLENUMBERMSGENFONTSTYLENAMEBYROLETEXT31"/>
        <w:shd w:val="clear" w:color="auto" w:fill="auto"/>
        <w:spacing w:before="0" w:after="0" w:line="276" w:lineRule="auto"/>
        <w:rPr>
          <w:rFonts w:ascii="Tahoma" w:eastAsia="Calibri" w:hAnsi="Tahoma" w:cs="Tahoma"/>
          <w:b w:val="0"/>
          <w:sz w:val="22"/>
          <w:szCs w:val="22"/>
        </w:rPr>
      </w:pPr>
      <w:r w:rsidRPr="00370D83">
        <w:rPr>
          <w:rFonts w:ascii="Tahoma" w:eastAsia="Calibri" w:hAnsi="Tahoma" w:cs="Tahoma"/>
          <w:b w:val="0"/>
          <w:bCs w:val="0"/>
          <w:sz w:val="22"/>
          <w:szCs w:val="22"/>
        </w:rPr>
        <w:t>Venezia Sanità S.r.l. è una soc</w:t>
      </w:r>
      <w:r w:rsidR="002110C0">
        <w:rPr>
          <w:rFonts w:ascii="Tahoma" w:eastAsia="Calibri" w:hAnsi="Tahoma" w:cs="Tahoma"/>
          <w:b w:val="0"/>
          <w:bCs w:val="0"/>
          <w:sz w:val="22"/>
          <w:szCs w:val="22"/>
        </w:rPr>
        <w:t xml:space="preserve">ietà </w:t>
      </w:r>
      <w:r w:rsidRPr="00370D83">
        <w:rPr>
          <w:rFonts w:ascii="Tahoma" w:eastAsia="Calibri" w:hAnsi="Tahoma" w:cs="Tahoma"/>
          <w:b w:val="0"/>
          <w:bCs w:val="0"/>
          <w:sz w:val="22"/>
          <w:szCs w:val="22"/>
        </w:rPr>
        <w:t>uni personale con capitale sociale interamente detenuto dall’Azienda U.L.S.S. n.3 Serenissima.</w:t>
      </w:r>
    </w:p>
    <w:p w:rsidR="007F38FC" w:rsidRPr="00370D83" w:rsidRDefault="007F38FC" w:rsidP="00B4470B">
      <w:pPr>
        <w:spacing w:after="0"/>
        <w:jc w:val="both"/>
        <w:rPr>
          <w:rFonts w:ascii="Tahoma" w:hAnsi="Tahoma" w:cs="Tahoma"/>
          <w:bCs/>
        </w:rPr>
      </w:pPr>
      <w:r w:rsidRPr="00370D83">
        <w:rPr>
          <w:rFonts w:ascii="Tahoma" w:hAnsi="Tahoma" w:cs="Tahoma"/>
          <w:bCs/>
        </w:rPr>
        <w:t>La Società opera secondo le modalità proprie degli affidamenti cosiddetti in house e pertanto il Socio Unico esercita sulla stessa un controllo analogo a quello esercitato sui propri servizi.</w:t>
      </w:r>
    </w:p>
    <w:p w:rsidR="007F38FC" w:rsidRPr="00370D83" w:rsidRDefault="007F38FC" w:rsidP="007F38FC">
      <w:pPr>
        <w:spacing w:after="0"/>
        <w:jc w:val="both"/>
        <w:rPr>
          <w:rFonts w:ascii="Tahoma" w:hAnsi="Tahoma" w:cs="Tahoma"/>
          <w:bCs/>
        </w:rPr>
      </w:pPr>
      <w:r w:rsidRPr="00370D83">
        <w:rPr>
          <w:rFonts w:ascii="Tahoma" w:hAnsi="Tahoma" w:cs="Tahoma"/>
          <w:bCs/>
        </w:rPr>
        <w:t>La sede è presso la sede amministrativa di Via Don F. Tosatto 147 Mestre.</w:t>
      </w:r>
    </w:p>
    <w:p w:rsidR="007F38FC" w:rsidRPr="00370D83" w:rsidRDefault="007F38FC" w:rsidP="007F38FC">
      <w:pPr>
        <w:spacing w:after="0"/>
        <w:jc w:val="both"/>
        <w:rPr>
          <w:rFonts w:ascii="Tahoma" w:hAnsi="Tahoma" w:cs="Tahoma"/>
          <w:bCs/>
        </w:rPr>
      </w:pPr>
      <w:r w:rsidRPr="00370D83">
        <w:rPr>
          <w:rFonts w:ascii="Tahoma" w:hAnsi="Tahoma" w:cs="Tahoma"/>
          <w:bCs/>
        </w:rPr>
        <w:t>Per la gestione è incaricato un Amministratore Unico al quale spetta la rappresentanza della Società e un Collegio di Revisori per le necessarie attività di controllo.</w:t>
      </w:r>
    </w:p>
    <w:p w:rsidR="007F38FC" w:rsidRPr="00370D83" w:rsidRDefault="007F38FC" w:rsidP="007F38FC">
      <w:pPr>
        <w:spacing w:after="0"/>
        <w:jc w:val="both"/>
        <w:rPr>
          <w:rFonts w:ascii="Tahoma" w:hAnsi="Tahoma" w:cs="Tahoma"/>
          <w:bCs/>
        </w:rPr>
      </w:pPr>
      <w:r w:rsidRPr="00370D83">
        <w:rPr>
          <w:rFonts w:ascii="Tahoma" w:hAnsi="Tahoma" w:cs="Tahoma"/>
          <w:bCs/>
        </w:rPr>
        <w:t>Oltre allo Statuto, la Società dispone di un Regolamento per il reclutamento del personale.</w:t>
      </w:r>
    </w:p>
    <w:p w:rsidR="007F38FC" w:rsidRPr="00370D83" w:rsidRDefault="007F38FC" w:rsidP="007F38FC">
      <w:pPr>
        <w:spacing w:after="0"/>
        <w:jc w:val="both"/>
        <w:rPr>
          <w:rFonts w:ascii="Tahoma" w:hAnsi="Tahoma" w:cs="Tahoma"/>
          <w:bCs/>
        </w:rPr>
      </w:pPr>
      <w:r w:rsidRPr="00370D83">
        <w:rPr>
          <w:rFonts w:ascii="Tahoma" w:hAnsi="Tahoma" w:cs="Tahoma"/>
          <w:bCs/>
        </w:rPr>
        <w:t>L’attività è affidata dalla ULSS 3 Serenissima alla Società tramite un Contratto.</w:t>
      </w:r>
    </w:p>
    <w:p w:rsidR="007F38FC" w:rsidRPr="00CF662F" w:rsidRDefault="007F38FC" w:rsidP="007F38FC">
      <w:pPr>
        <w:spacing w:after="0"/>
        <w:jc w:val="both"/>
        <w:rPr>
          <w:rFonts w:ascii="Tahoma" w:hAnsi="Tahoma" w:cs="Tahoma"/>
          <w:bCs/>
        </w:rPr>
      </w:pPr>
      <w:r w:rsidRPr="00370D83">
        <w:rPr>
          <w:rFonts w:ascii="Tahoma" w:hAnsi="Tahoma" w:cs="Tahoma"/>
          <w:bCs/>
        </w:rPr>
        <w:t>La Società, con la collaborazione dell’Azienda ULSS, ha provveduto a predisporre una propria sezione sul sito istituzionale dell’Azienda stessa, al fine di procedere con la pubblicazione dei dati e delle informazioni obbligatorie secondo quanto previsto dalla normativa di trasparenza.</w:t>
      </w:r>
    </w:p>
    <w:p w:rsidR="005C7A4D" w:rsidRDefault="005C7A4D" w:rsidP="007F38FC">
      <w:pPr>
        <w:spacing w:after="0"/>
        <w:jc w:val="both"/>
        <w:rPr>
          <w:rFonts w:ascii="Tahoma" w:hAnsi="Tahoma" w:cs="Tahoma"/>
        </w:rPr>
      </w:pPr>
    </w:p>
    <w:p w:rsidR="007F38FC" w:rsidRDefault="007F38FC" w:rsidP="007F38FC">
      <w:pPr>
        <w:spacing w:after="0"/>
        <w:jc w:val="both"/>
      </w:pPr>
      <w:r>
        <w:rPr>
          <w:rFonts w:ascii="Tahoma" w:hAnsi="Tahoma" w:cs="Tahoma"/>
        </w:rPr>
        <w:t xml:space="preserve">Complessivamente la società è composta da </w:t>
      </w:r>
      <w:r w:rsidR="002110C0">
        <w:rPr>
          <w:rFonts w:ascii="Tahoma" w:hAnsi="Tahoma" w:cs="Tahoma"/>
        </w:rPr>
        <w:t>6</w:t>
      </w:r>
      <w:r>
        <w:rPr>
          <w:rFonts w:ascii="Tahoma" w:hAnsi="Tahoma" w:cs="Tahoma"/>
        </w:rPr>
        <w:t xml:space="preserve"> persone dipendenti</w:t>
      </w:r>
      <w:r w:rsidR="005C7A4D">
        <w:rPr>
          <w:rFonts w:ascii="Tahoma" w:hAnsi="Tahoma" w:cs="Tahoma"/>
        </w:rPr>
        <w:t>, come di seguito esplicitato</w:t>
      </w:r>
      <w:r>
        <w:rPr>
          <w:rFonts w:ascii="Tahoma" w:hAnsi="Tahoma" w:cs="Tahoma"/>
        </w:rPr>
        <w:t>.</w:t>
      </w:r>
    </w:p>
    <w:p w:rsidR="007F38FC" w:rsidRDefault="007F38FC">
      <w:pPr>
        <w:spacing w:after="0"/>
        <w:jc w:val="both"/>
        <w:rPr>
          <w:rFonts w:ascii="Tahoma" w:hAnsi="Tahoma" w:cs="Tahoma"/>
        </w:rPr>
      </w:pPr>
    </w:p>
    <w:p w:rsidR="00221AD9" w:rsidRDefault="00CD172E">
      <w:pPr>
        <w:spacing w:after="0"/>
        <w:jc w:val="both"/>
        <w:rPr>
          <w:rFonts w:ascii="Tahoma" w:hAnsi="Tahoma" w:cs="Tahoma"/>
          <w:sz w:val="18"/>
          <w:u w:val="single"/>
        </w:rPr>
      </w:pPr>
      <w:r>
        <w:rPr>
          <w:rFonts w:ascii="Tahoma" w:hAnsi="Tahoma" w:cs="Tahoma"/>
          <w:noProof/>
          <w:sz w:val="18"/>
          <w:u w:val="single"/>
          <w:lang w:eastAsia="it-IT"/>
        </w:rPr>
        <w:lastRenderedPageBreak/>
        <w:drawing>
          <wp:inline distT="0" distB="0" distL="0" distR="0">
            <wp:extent cx="6087110" cy="2385060"/>
            <wp:effectExtent l="0" t="0" r="0" b="0"/>
            <wp:docPr id="14" name="Organigramma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221AD9" w:rsidRDefault="00221AD9">
      <w:pPr>
        <w:spacing w:after="0"/>
        <w:jc w:val="both"/>
        <w:rPr>
          <w:rFonts w:ascii="Tahoma" w:hAnsi="Tahoma" w:cs="Tahoma"/>
          <w:sz w:val="18"/>
          <w:u w:val="single"/>
        </w:rPr>
      </w:pPr>
    </w:p>
    <w:p w:rsidR="00CC7B4D" w:rsidRDefault="00CC7B4D">
      <w:pPr>
        <w:spacing w:after="0"/>
        <w:jc w:val="both"/>
      </w:pPr>
      <w:r>
        <w:rPr>
          <w:rFonts w:ascii="Tahoma" w:hAnsi="Tahoma" w:cs="Tahoma"/>
          <w:sz w:val="18"/>
          <w:u w:val="single"/>
        </w:rPr>
        <w:t>Amministratore Unico</w:t>
      </w:r>
      <w:r>
        <w:rPr>
          <w:rFonts w:ascii="Tahoma" w:hAnsi="Tahoma" w:cs="Tahoma"/>
          <w:sz w:val="18"/>
        </w:rPr>
        <w:t xml:space="preserve">: dipende dell’Azienda ULSS 3 Serenissima. </w:t>
      </w:r>
    </w:p>
    <w:p w:rsidR="00CC7B4D" w:rsidRDefault="00CC7B4D">
      <w:pPr>
        <w:spacing w:after="0"/>
        <w:jc w:val="both"/>
      </w:pPr>
      <w:r>
        <w:rPr>
          <w:rFonts w:ascii="Tahoma" w:hAnsi="Tahoma" w:cs="Tahoma"/>
          <w:sz w:val="18"/>
          <w:u w:val="single"/>
        </w:rPr>
        <w:t>Direttore Amministrativo</w:t>
      </w:r>
      <w:r>
        <w:rPr>
          <w:rFonts w:ascii="Tahoma" w:hAnsi="Tahoma" w:cs="Tahoma"/>
          <w:sz w:val="18"/>
        </w:rPr>
        <w:t>: dipendente (livello D) di Venezia Sanità s.r.l. a cui è stato affidato il ruolo dirigenziale.</w:t>
      </w:r>
    </w:p>
    <w:p w:rsidR="00CC7B4D" w:rsidRDefault="00CC7B4D">
      <w:pPr>
        <w:spacing w:after="0"/>
        <w:jc w:val="both"/>
      </w:pPr>
      <w:r>
        <w:rPr>
          <w:rFonts w:ascii="Tahoma" w:hAnsi="Tahoma" w:cs="Tahoma"/>
          <w:sz w:val="18"/>
          <w:u w:val="single"/>
        </w:rPr>
        <w:t>Responsabile Anticorruzione e Trasparenza</w:t>
      </w:r>
      <w:r>
        <w:rPr>
          <w:rFonts w:ascii="Tahoma" w:hAnsi="Tahoma" w:cs="Tahoma"/>
          <w:sz w:val="18"/>
        </w:rPr>
        <w:t>: dipendente (livello D</w:t>
      </w:r>
      <w:r w:rsidR="001C649A">
        <w:rPr>
          <w:rFonts w:ascii="Tahoma" w:hAnsi="Tahoma" w:cs="Tahoma"/>
          <w:sz w:val="18"/>
        </w:rPr>
        <w:t>s</w:t>
      </w:r>
      <w:r>
        <w:rPr>
          <w:rFonts w:ascii="Tahoma" w:hAnsi="Tahoma" w:cs="Tahoma"/>
          <w:sz w:val="18"/>
        </w:rPr>
        <w:t>) di Venezia Sanità s.r.l. a cui è stat</w:t>
      </w:r>
      <w:r w:rsidR="002B45B5">
        <w:rPr>
          <w:rFonts w:ascii="Tahoma" w:hAnsi="Tahoma" w:cs="Tahoma"/>
          <w:sz w:val="18"/>
        </w:rPr>
        <w:t>a</w:t>
      </w:r>
      <w:r>
        <w:rPr>
          <w:rFonts w:ascii="Tahoma" w:hAnsi="Tahoma" w:cs="Tahoma"/>
          <w:sz w:val="18"/>
        </w:rPr>
        <w:t xml:space="preserve"> affidata l’attività.</w:t>
      </w:r>
    </w:p>
    <w:p w:rsidR="008F52A0" w:rsidRPr="007F38FC" w:rsidRDefault="008F52A0" w:rsidP="007F38FC">
      <w:pPr>
        <w:spacing w:after="0"/>
        <w:ind w:left="7" w:right="20"/>
        <w:jc w:val="both"/>
        <w:rPr>
          <w:rFonts w:ascii="Tahoma" w:eastAsia="Times New Roman" w:hAnsi="Tahoma" w:cs="Tahoma"/>
        </w:rPr>
      </w:pPr>
    </w:p>
    <w:p w:rsidR="00CC7B4D" w:rsidRDefault="00CC7B4D">
      <w:pPr>
        <w:spacing w:after="0"/>
      </w:pPr>
      <w:r>
        <w:rPr>
          <w:rFonts w:ascii="Tahoma" w:hAnsi="Tahoma" w:cs="Tahoma"/>
          <w:b/>
          <w:bCs/>
        </w:rPr>
        <w:t>Fasi di Elaborazione del Piano</w:t>
      </w:r>
    </w:p>
    <w:p w:rsidR="00CC7B4D" w:rsidRPr="000E0A04" w:rsidRDefault="00CC7B4D">
      <w:pPr>
        <w:spacing w:after="0"/>
        <w:ind w:left="7" w:right="20"/>
        <w:jc w:val="both"/>
        <w:rPr>
          <w:color w:val="FF0000"/>
        </w:rPr>
      </w:pPr>
      <w:r w:rsidRPr="000E0A04">
        <w:rPr>
          <w:rFonts w:ascii="Tahoma" w:eastAsia="Times New Roman" w:hAnsi="Tahoma" w:cs="Tahoma"/>
          <w:color w:val="FF0000"/>
        </w:rPr>
        <w:t>Obiettivo prioritario del Piano è quello di predisporre le basi per la realizzazione di un sistema organico di azioni e misure, idoneo a prevenire il rischio corruttivo nell’ambito di tutti i processi</w:t>
      </w:r>
      <w:r w:rsidR="002B45B5">
        <w:rPr>
          <w:rFonts w:ascii="Tahoma" w:eastAsia="Times New Roman" w:hAnsi="Tahoma" w:cs="Tahoma"/>
          <w:color w:val="FF0000"/>
        </w:rPr>
        <w:t xml:space="preserve"> lavorativi</w:t>
      </w:r>
      <w:r w:rsidRPr="000E0A04">
        <w:rPr>
          <w:rFonts w:ascii="Tahoma" w:eastAsia="Times New Roman" w:hAnsi="Tahoma" w:cs="Tahoma"/>
          <w:color w:val="FF0000"/>
        </w:rPr>
        <w:t>.</w:t>
      </w:r>
    </w:p>
    <w:p w:rsidR="00CC7B4D" w:rsidRDefault="00CC7B4D">
      <w:pPr>
        <w:spacing w:after="0"/>
        <w:ind w:left="7" w:right="20"/>
        <w:jc w:val="both"/>
        <w:rPr>
          <w:rFonts w:ascii="Tahoma" w:eastAsia="Times New Roman" w:hAnsi="Tahoma" w:cs="Tahoma"/>
        </w:rPr>
      </w:pPr>
    </w:p>
    <w:p w:rsidR="00CC7B4D" w:rsidRDefault="00CC7B4D">
      <w:pPr>
        <w:spacing w:after="0"/>
      </w:pPr>
      <w:r>
        <w:rPr>
          <w:rFonts w:ascii="Tahoma" w:hAnsi="Tahoma" w:cs="Tahoma"/>
          <w:b/>
          <w:bCs/>
        </w:rPr>
        <w:t>Mappatura dei processi</w:t>
      </w:r>
    </w:p>
    <w:p w:rsidR="00CC7B4D" w:rsidRPr="000E0A04" w:rsidRDefault="000E0A04">
      <w:pPr>
        <w:spacing w:after="0"/>
        <w:jc w:val="both"/>
        <w:rPr>
          <w:color w:val="00B050"/>
        </w:rPr>
      </w:pPr>
      <w:r w:rsidRPr="000E0A04">
        <w:rPr>
          <w:rFonts w:ascii="Tahoma" w:eastAsia="Times New Roman" w:hAnsi="Tahoma" w:cs="Tahoma"/>
          <w:color w:val="00B050"/>
        </w:rPr>
        <w:t xml:space="preserve">L’analisi delle </w:t>
      </w:r>
      <w:r w:rsidR="00CC7B4D" w:rsidRPr="000E0A04">
        <w:rPr>
          <w:rFonts w:ascii="Tahoma" w:eastAsia="Times New Roman" w:hAnsi="Tahoma" w:cs="Tahoma"/>
          <w:color w:val="00B050"/>
        </w:rPr>
        <w:t xml:space="preserve">mansioni svolte dai dipendenti di Venezia Sanità per conto della stessa o prestati per l’Azienda ULSS 3 Serenissima è </w:t>
      </w:r>
      <w:r w:rsidRPr="000E0A04">
        <w:rPr>
          <w:rFonts w:ascii="Tahoma" w:eastAsia="Times New Roman" w:hAnsi="Tahoma" w:cs="Tahoma"/>
          <w:color w:val="00B050"/>
        </w:rPr>
        <w:t xml:space="preserve">lo </w:t>
      </w:r>
      <w:r w:rsidR="00CC7B4D" w:rsidRPr="000E0A04">
        <w:rPr>
          <w:rFonts w:ascii="Tahoma" w:eastAsia="Times New Roman" w:hAnsi="Tahoma" w:cs="Tahoma"/>
          <w:color w:val="00B050"/>
        </w:rPr>
        <w:t>strumento organizzativo per il governo della società. L</w:t>
      </w:r>
      <w:r w:rsidRPr="000E0A04">
        <w:rPr>
          <w:rFonts w:ascii="Tahoma" w:eastAsia="Times New Roman" w:hAnsi="Tahoma" w:cs="Tahoma"/>
          <w:color w:val="00B050"/>
        </w:rPr>
        <w:t>a</w:t>
      </w:r>
      <w:r w:rsidR="00CC7B4D" w:rsidRPr="000E0A04">
        <w:rPr>
          <w:rFonts w:ascii="Tahoma" w:eastAsia="Times New Roman" w:hAnsi="Tahoma" w:cs="Tahoma"/>
          <w:color w:val="00B050"/>
        </w:rPr>
        <w:t xml:space="preserve"> stess</w:t>
      </w:r>
      <w:r w:rsidRPr="000E0A04">
        <w:rPr>
          <w:rFonts w:ascii="Tahoma" w:eastAsia="Times New Roman" w:hAnsi="Tahoma" w:cs="Tahoma"/>
          <w:color w:val="00B050"/>
        </w:rPr>
        <w:t>a</w:t>
      </w:r>
      <w:r w:rsidR="00CC7B4D" w:rsidRPr="000E0A04">
        <w:rPr>
          <w:rFonts w:ascii="Tahoma" w:eastAsia="Times New Roman" w:hAnsi="Tahoma" w:cs="Tahoma"/>
          <w:color w:val="00B050"/>
        </w:rPr>
        <w:t xml:space="preserve"> </w:t>
      </w:r>
      <w:r w:rsidRPr="000E0A04">
        <w:rPr>
          <w:rFonts w:ascii="Tahoma" w:eastAsia="Times New Roman" w:hAnsi="Tahoma" w:cs="Tahoma"/>
          <w:color w:val="00B050"/>
        </w:rPr>
        <w:t xml:space="preserve">ha di fatto consentito </w:t>
      </w:r>
      <w:r w:rsidR="00CC7B4D" w:rsidRPr="000E0A04">
        <w:rPr>
          <w:rFonts w:ascii="Tahoma" w:eastAsia="Times New Roman" w:hAnsi="Tahoma" w:cs="Tahoma"/>
          <w:color w:val="00B050"/>
        </w:rPr>
        <w:t>la ricognizione dei procedimenti amministrativi e la creazione del registro/catalogo dei rischi (elenco di tutti i processi aziendali con relativo livello di rischio).</w:t>
      </w:r>
    </w:p>
    <w:p w:rsidR="00CC7B4D" w:rsidRPr="000E0A04" w:rsidRDefault="00CC7B4D">
      <w:pPr>
        <w:spacing w:after="0"/>
        <w:ind w:left="7"/>
        <w:jc w:val="both"/>
        <w:rPr>
          <w:color w:val="00B050"/>
        </w:rPr>
      </w:pPr>
      <w:r w:rsidRPr="000E0A04">
        <w:rPr>
          <w:rFonts w:ascii="Tahoma" w:eastAsia="Times New Roman" w:hAnsi="Tahoma" w:cs="Tahoma"/>
          <w:color w:val="00B050"/>
        </w:rPr>
        <w:t>Il sistema di gestione del rischio adottato dalla società si basa sul modello previsto nel Piano Nazionale Anticorruzione.</w:t>
      </w:r>
    </w:p>
    <w:p w:rsidR="00CC7B4D" w:rsidRDefault="00CC7B4D">
      <w:pPr>
        <w:spacing w:after="0"/>
        <w:rPr>
          <w:rFonts w:ascii="Tahoma" w:eastAsia="Times New Roman" w:hAnsi="Tahoma" w:cs="Tahoma"/>
        </w:rPr>
      </w:pPr>
    </w:p>
    <w:p w:rsidR="00CC7B4D" w:rsidRDefault="00CC7B4D">
      <w:pPr>
        <w:spacing w:after="0"/>
      </w:pPr>
      <w:r>
        <w:rPr>
          <w:rFonts w:ascii="Tahoma" w:hAnsi="Tahoma" w:cs="Tahoma"/>
          <w:b/>
          <w:bCs/>
        </w:rPr>
        <w:t>Valutazione del rischio</w:t>
      </w:r>
    </w:p>
    <w:p w:rsidR="00CC7B4D" w:rsidRDefault="00CC7B4D">
      <w:pPr>
        <w:tabs>
          <w:tab w:val="left" w:pos="204"/>
        </w:tabs>
        <w:spacing w:after="0"/>
        <w:ind w:right="20"/>
      </w:pPr>
      <w:r>
        <w:rPr>
          <w:rFonts w:ascii="Tahoma" w:eastAsia="Times New Roman" w:hAnsi="Tahoma" w:cs="Tahoma"/>
        </w:rPr>
        <w:t>È la macro fase in cui il rischio viene identificato, analizzato e confrontato con altri rischi, al fine di definire le priorità di intervento e le possibili misure correttive /preventive.</w:t>
      </w:r>
    </w:p>
    <w:p w:rsidR="00CC7B4D" w:rsidRDefault="00CC7B4D">
      <w:pPr>
        <w:spacing w:after="0"/>
        <w:rPr>
          <w:rFonts w:ascii="Tahoma" w:eastAsia="Times New Roman" w:hAnsi="Tahoma" w:cs="Tahoma"/>
          <w:b/>
        </w:rPr>
      </w:pPr>
    </w:p>
    <w:p w:rsidR="00CC7B4D" w:rsidRDefault="00CC7B4D">
      <w:pPr>
        <w:spacing w:after="0"/>
      </w:pPr>
      <w:r>
        <w:rPr>
          <w:rFonts w:ascii="Tahoma" w:hAnsi="Tahoma" w:cs="Tahoma"/>
          <w:b/>
          <w:bCs/>
        </w:rPr>
        <w:t>Identificazione del rischio</w:t>
      </w:r>
    </w:p>
    <w:p w:rsidR="00CC7B4D" w:rsidRDefault="00CC7B4D">
      <w:pPr>
        <w:spacing w:after="0"/>
        <w:jc w:val="both"/>
      </w:pPr>
      <w:r>
        <w:rPr>
          <w:rFonts w:ascii="Tahoma" w:hAnsi="Tahoma" w:cs="Tahoma"/>
        </w:rPr>
        <w:t>L’analisi della mappatura dei processi che vengono prestati all’Azienda ULSS, quelli direttamente svolti per Venezia Sanità ed il confronto con quanto previsto dall’art. 1 c. 16 della legge 190/2012 ha evidenziato che i processi esposti al rischio di corruzione riguardano solamente quelli eseguiti per la Società e non quelli forniti all’Azienda ULSS, in quanto questi ultimi sono prestati sempre sotto il diretto controllo decisionale dei Dirigenti delle unità operative di afferenza del servizio.</w:t>
      </w:r>
    </w:p>
    <w:p w:rsidR="00CC7B4D" w:rsidRDefault="00CC7B4D">
      <w:pPr>
        <w:spacing w:after="0"/>
        <w:jc w:val="both"/>
      </w:pPr>
      <w:r>
        <w:rPr>
          <w:rFonts w:ascii="Tahoma" w:hAnsi="Tahoma" w:cs="Tahoma"/>
        </w:rPr>
        <w:t>Pertanto, i processi esposti al rischio corruzione sono i seguenti:</w:t>
      </w:r>
    </w:p>
    <w:p w:rsidR="00CC7B4D" w:rsidRPr="0073531B" w:rsidRDefault="00CC7B4D">
      <w:pPr>
        <w:pStyle w:val="Paragrafoelenco"/>
        <w:numPr>
          <w:ilvl w:val="0"/>
          <w:numId w:val="16"/>
        </w:numPr>
        <w:spacing w:after="0"/>
        <w:jc w:val="both"/>
        <w:rPr>
          <w:rFonts w:ascii="Tahoma" w:hAnsi="Tahoma" w:cs="Tahoma"/>
          <w:b/>
          <w:color w:val="FFC000"/>
        </w:rPr>
      </w:pPr>
      <w:r w:rsidRPr="0073531B">
        <w:rPr>
          <w:rFonts w:ascii="Tahoma" w:hAnsi="Tahoma" w:cs="Tahoma"/>
          <w:b/>
          <w:color w:val="FFC000"/>
        </w:rPr>
        <w:t>procedure per l’assunzione e la selezione del personale, progressioni di carriera, valutazione del personale (anche dirigenziale), conferimento di incarichi di collaborazione;</w:t>
      </w:r>
    </w:p>
    <w:p w:rsidR="00CC7B4D" w:rsidRPr="0073531B" w:rsidRDefault="00CC7B4D">
      <w:pPr>
        <w:pStyle w:val="Paragrafoelenco"/>
        <w:numPr>
          <w:ilvl w:val="0"/>
          <w:numId w:val="16"/>
        </w:numPr>
        <w:spacing w:after="0"/>
        <w:jc w:val="both"/>
        <w:rPr>
          <w:rFonts w:ascii="Tahoma" w:hAnsi="Tahoma" w:cs="Tahoma"/>
          <w:b/>
          <w:color w:val="0033CC"/>
        </w:rPr>
      </w:pPr>
      <w:r w:rsidRPr="0073531B">
        <w:rPr>
          <w:rFonts w:ascii="Tahoma" w:hAnsi="Tahoma" w:cs="Tahoma"/>
          <w:b/>
          <w:color w:val="0033CC"/>
        </w:rPr>
        <w:t>piani e procedure di acquisto e di approvvigionamento</w:t>
      </w:r>
      <w:r w:rsidR="001C141F" w:rsidRPr="0073531B">
        <w:rPr>
          <w:rFonts w:ascii="Tahoma" w:hAnsi="Tahoma" w:cs="Tahoma"/>
          <w:b/>
          <w:color w:val="0033CC"/>
        </w:rPr>
        <w:t xml:space="preserve"> di beni e servizi (acquisti</w:t>
      </w:r>
      <w:r w:rsidRPr="0073531B">
        <w:rPr>
          <w:rFonts w:ascii="Tahoma" w:hAnsi="Tahoma" w:cs="Tahoma"/>
          <w:b/>
          <w:color w:val="0033CC"/>
        </w:rPr>
        <w:t xml:space="preserve"> in </w:t>
      </w:r>
      <w:r w:rsidR="001C141F" w:rsidRPr="0073531B">
        <w:rPr>
          <w:rFonts w:ascii="Tahoma" w:hAnsi="Tahoma" w:cs="Tahoma"/>
          <w:b/>
          <w:color w:val="0033CC"/>
        </w:rPr>
        <w:t xml:space="preserve">economia) in tutti gli aspetti tecnico-procedurali (compresi la definizione dell’oggetto dell’affidamento, i requisiti di qualificazione e di aggiudicazione, la </w:t>
      </w:r>
      <w:r w:rsidR="001C141F" w:rsidRPr="0073531B">
        <w:rPr>
          <w:rFonts w:ascii="Tahoma" w:hAnsi="Tahoma" w:cs="Tahoma"/>
          <w:b/>
          <w:color w:val="0033CC"/>
        </w:rPr>
        <w:lastRenderedPageBreak/>
        <w:t>valutazione delle offerte, le procedure negoziate, gli affidamenti diretti, le variazioni in corso di esecuzione del contratto, i subappalti).</w:t>
      </w:r>
    </w:p>
    <w:p w:rsidR="00CC7B4D" w:rsidRPr="0073531B" w:rsidRDefault="00CC7B4D">
      <w:pPr>
        <w:pStyle w:val="Paragrafoelenco"/>
        <w:numPr>
          <w:ilvl w:val="0"/>
          <w:numId w:val="16"/>
        </w:numPr>
        <w:spacing w:after="0"/>
        <w:jc w:val="both"/>
        <w:rPr>
          <w:rFonts w:ascii="Tahoma" w:hAnsi="Tahoma" w:cs="Tahoma"/>
          <w:b/>
          <w:color w:val="92D050"/>
        </w:rPr>
      </w:pPr>
      <w:r w:rsidRPr="0073531B">
        <w:rPr>
          <w:rFonts w:ascii="Tahoma" w:hAnsi="Tahoma" w:cs="Tahoma"/>
          <w:b/>
          <w:color w:val="92D050"/>
        </w:rPr>
        <w:t>piani e procedure di gestione del patrimonio immobiliare in materia di  manutenzione, locazioni e alienazioni;</w:t>
      </w:r>
    </w:p>
    <w:p w:rsidR="00CC7B4D" w:rsidRPr="0073531B" w:rsidRDefault="00CC7B4D">
      <w:pPr>
        <w:pStyle w:val="Paragrafoelenco"/>
        <w:numPr>
          <w:ilvl w:val="0"/>
          <w:numId w:val="16"/>
        </w:numPr>
        <w:spacing w:after="0"/>
        <w:jc w:val="both"/>
        <w:rPr>
          <w:rFonts w:ascii="Tahoma" w:hAnsi="Tahoma" w:cs="Tahoma"/>
        </w:rPr>
      </w:pPr>
      <w:r w:rsidRPr="0073531B">
        <w:rPr>
          <w:rFonts w:ascii="Tahoma" w:hAnsi="Tahoma" w:cs="Tahoma"/>
        </w:rPr>
        <w:t>incompatibilità, e cumulo di impieghi e incarichi, retribuiti e non retribuiti, conferiti a dipendenti pubblici e a soggetti privati (articolo 53 del decreto legislativo 30 marzo 2001, n. 165);</w:t>
      </w:r>
    </w:p>
    <w:p w:rsidR="00CC7B4D" w:rsidRPr="0073531B" w:rsidRDefault="00CC7B4D">
      <w:pPr>
        <w:pStyle w:val="Paragrafoelenco"/>
        <w:numPr>
          <w:ilvl w:val="0"/>
          <w:numId w:val="16"/>
        </w:numPr>
        <w:spacing w:after="0"/>
        <w:jc w:val="both"/>
        <w:rPr>
          <w:rFonts w:ascii="Tahoma" w:hAnsi="Tahoma" w:cs="Tahoma"/>
        </w:rPr>
      </w:pPr>
      <w:r w:rsidRPr="0073531B">
        <w:rPr>
          <w:rFonts w:ascii="Tahoma" w:hAnsi="Tahoma" w:cs="Tahoma"/>
        </w:rPr>
        <w:t>le materie oggetto del Codice di comportamento (articolo 54 del decreto legislativo 30 marzo 2001, n. 165);</w:t>
      </w:r>
    </w:p>
    <w:p w:rsidR="00CC7B4D" w:rsidRDefault="00CC7B4D">
      <w:pPr>
        <w:spacing w:after="0"/>
        <w:jc w:val="both"/>
        <w:rPr>
          <w:rFonts w:ascii="Tahoma" w:hAnsi="Tahoma" w:cs="Tahoma"/>
          <w:b/>
          <w:bCs/>
        </w:rPr>
      </w:pPr>
    </w:p>
    <w:p w:rsidR="00CC7B4D" w:rsidRDefault="00CC7B4D">
      <w:pPr>
        <w:spacing w:after="0"/>
        <w:jc w:val="both"/>
      </w:pPr>
      <w:r>
        <w:rPr>
          <w:rFonts w:ascii="Tahoma" w:hAnsi="Tahoma" w:cs="Tahoma"/>
          <w:b/>
          <w:bCs/>
        </w:rPr>
        <w:t>Analisi dei rischi</w:t>
      </w:r>
    </w:p>
    <w:p w:rsidR="00CC7B4D" w:rsidRDefault="00CC7B4D">
      <w:pPr>
        <w:spacing w:after="0"/>
        <w:jc w:val="both"/>
      </w:pPr>
      <w:r>
        <w:rPr>
          <w:rFonts w:ascii="Tahoma" w:hAnsi="Tahoma" w:cs="Tahoma"/>
        </w:rPr>
        <w:t xml:space="preserve">L’analisi del rischio implica lo sviluppo di una conoscenza del rischio ed è caratterizzata dalla valutazione delle conseguenze positive o negative (impatto) e della verosimiglianza (probabilità) derivanti dall’accadimento dei rischi individuati nella fase di Identificazione. I risultati dell’analisi e le modalità con le quali vengono espresse, forniscono i dati e gli elementi necessari per procedere al processo decisionale, caratterizzato dalle successive fasi di ponderazione e trattamento del rischio. </w:t>
      </w:r>
    </w:p>
    <w:p w:rsidR="00CC7B4D" w:rsidRDefault="00CC7B4D">
      <w:pPr>
        <w:spacing w:after="0"/>
        <w:ind w:left="7"/>
        <w:jc w:val="both"/>
      </w:pPr>
      <w:r>
        <w:rPr>
          <w:rFonts w:ascii="Tahoma" w:eastAsia="Times New Roman" w:hAnsi="Tahoma" w:cs="Tahoma"/>
        </w:rPr>
        <w:t>Venezia Sanità ha predisposto l’analisi del rischio associando ad ogni processo un determinato rischio individuando gli indici di probabilità ed impatto calcolati sulla base dei fattori definiti tenendo conto sia delle indicazioni contenute nell’allegato 5 del PNA, sia di quelle fornite nella determinazione ANAC di aggiornamento del medesimo, sia delle specificità del contesto di riferimento.</w:t>
      </w:r>
    </w:p>
    <w:p w:rsidR="00CC7B4D" w:rsidRDefault="00CC7B4D">
      <w:pPr>
        <w:spacing w:after="0"/>
        <w:jc w:val="both"/>
        <w:rPr>
          <w:rFonts w:ascii="Tahoma" w:eastAsia="Times New Roman" w:hAnsi="Tahoma" w:cs="Tahoma"/>
        </w:rPr>
      </w:pPr>
    </w:p>
    <w:tbl>
      <w:tblPr>
        <w:tblW w:w="0" w:type="auto"/>
        <w:tblInd w:w="107" w:type="dxa"/>
        <w:tblLayout w:type="fixed"/>
        <w:tblCellMar>
          <w:left w:w="107" w:type="dxa"/>
        </w:tblCellMar>
        <w:tblLook w:val="0000"/>
      </w:tblPr>
      <w:tblGrid>
        <w:gridCol w:w="5117"/>
        <w:gridCol w:w="4596"/>
      </w:tblGrid>
      <w:tr w:rsidR="00CC7B4D">
        <w:tc>
          <w:tcPr>
            <w:tcW w:w="5117" w:type="dxa"/>
            <w:tcBorders>
              <w:top w:val="single" w:sz="8" w:space="0" w:color="9BBB59"/>
              <w:left w:val="single" w:sz="8" w:space="0" w:color="9BBB59"/>
              <w:bottom w:val="single" w:sz="8" w:space="0" w:color="9BBB59"/>
            </w:tcBorders>
            <w:shd w:val="clear" w:color="auto" w:fill="E6EED5"/>
          </w:tcPr>
          <w:p w:rsidR="00CC7B4D" w:rsidRDefault="00CC7B4D">
            <w:pPr>
              <w:spacing w:after="0" w:line="240" w:lineRule="auto"/>
              <w:jc w:val="both"/>
            </w:pPr>
            <w:r>
              <w:rPr>
                <w:rFonts w:ascii="Tahoma" w:eastAsia="Times New Roman" w:hAnsi="Tahoma" w:cs="Tahoma"/>
                <w:b/>
                <w:color w:val="000000"/>
              </w:rPr>
              <w:t>VALORI E FREQUENZE DELLA PROBABILITA’</w:t>
            </w:r>
          </w:p>
          <w:p w:rsidR="00CC7B4D" w:rsidRPr="00B84974" w:rsidRDefault="00CC7B4D">
            <w:pPr>
              <w:spacing w:after="0" w:line="240" w:lineRule="auto"/>
              <w:jc w:val="both"/>
              <w:rPr>
                <w:rFonts w:ascii="Tahoma" w:eastAsia="Times New Roman" w:hAnsi="Tahoma" w:cs="Tahoma"/>
                <w:b/>
                <w:color w:val="000000"/>
                <w:sz w:val="16"/>
              </w:rPr>
            </w:pPr>
          </w:p>
          <w:p w:rsidR="00CC7B4D" w:rsidRDefault="00CC7B4D">
            <w:pPr>
              <w:spacing w:after="0" w:line="240" w:lineRule="auto"/>
              <w:ind w:left="1416"/>
            </w:pPr>
            <w:r>
              <w:rPr>
                <w:rFonts w:ascii="Tahoma" w:eastAsia="Times New Roman" w:hAnsi="Tahoma" w:cs="Tahoma"/>
                <w:color w:val="000000"/>
              </w:rPr>
              <w:t>1 improbabile</w:t>
            </w:r>
          </w:p>
          <w:p w:rsidR="00CC7B4D" w:rsidRDefault="00CC7B4D">
            <w:pPr>
              <w:spacing w:after="0" w:line="240" w:lineRule="auto"/>
              <w:ind w:left="1416"/>
            </w:pPr>
            <w:r>
              <w:rPr>
                <w:rFonts w:ascii="Tahoma" w:eastAsia="Times New Roman" w:hAnsi="Tahoma" w:cs="Tahoma"/>
                <w:color w:val="000000"/>
              </w:rPr>
              <w:t>2 poco probabile</w:t>
            </w:r>
          </w:p>
          <w:p w:rsidR="00CC7B4D" w:rsidRDefault="00CC7B4D">
            <w:pPr>
              <w:spacing w:after="0" w:line="240" w:lineRule="auto"/>
              <w:ind w:left="1416"/>
            </w:pPr>
            <w:r>
              <w:rPr>
                <w:rFonts w:ascii="Tahoma" w:eastAsia="Times New Roman" w:hAnsi="Tahoma" w:cs="Tahoma"/>
                <w:color w:val="000000"/>
              </w:rPr>
              <w:t>3 probabile</w:t>
            </w:r>
          </w:p>
          <w:p w:rsidR="00CC7B4D" w:rsidRDefault="00CC7B4D">
            <w:pPr>
              <w:spacing w:after="0" w:line="240" w:lineRule="auto"/>
              <w:ind w:left="1416"/>
            </w:pPr>
            <w:r>
              <w:rPr>
                <w:rFonts w:ascii="Tahoma" w:eastAsia="Times New Roman" w:hAnsi="Tahoma" w:cs="Tahoma"/>
                <w:color w:val="000000"/>
              </w:rPr>
              <w:t>4 molto probabile</w:t>
            </w:r>
          </w:p>
          <w:p w:rsidR="00CC7B4D" w:rsidRDefault="00CC7B4D">
            <w:pPr>
              <w:spacing w:after="0" w:line="240" w:lineRule="auto"/>
              <w:ind w:left="1416"/>
            </w:pPr>
            <w:r>
              <w:rPr>
                <w:rFonts w:ascii="Tahoma" w:eastAsia="Times New Roman" w:hAnsi="Tahoma" w:cs="Tahoma"/>
                <w:color w:val="000000"/>
              </w:rPr>
              <w:t>5 altamente probabile</w:t>
            </w:r>
          </w:p>
        </w:tc>
        <w:tc>
          <w:tcPr>
            <w:tcW w:w="4596" w:type="dxa"/>
            <w:tcBorders>
              <w:top w:val="single" w:sz="8" w:space="0" w:color="9BBB59"/>
              <w:left w:val="single" w:sz="8" w:space="0" w:color="9BBB59"/>
              <w:bottom w:val="single" w:sz="8" w:space="0" w:color="9BBB59"/>
              <w:right w:val="single" w:sz="8" w:space="0" w:color="9BBB59"/>
            </w:tcBorders>
            <w:shd w:val="clear" w:color="auto" w:fill="E6EED5"/>
          </w:tcPr>
          <w:p w:rsidR="00CC7B4D" w:rsidRDefault="00CC7B4D">
            <w:pPr>
              <w:spacing w:after="0" w:line="240" w:lineRule="auto"/>
              <w:jc w:val="both"/>
            </w:pPr>
            <w:r>
              <w:rPr>
                <w:rFonts w:ascii="Tahoma" w:eastAsia="Times New Roman" w:hAnsi="Tahoma" w:cs="Tahoma"/>
                <w:b/>
                <w:color w:val="000000"/>
              </w:rPr>
              <w:t>VALORI E IMPORTANZA DELL’IMPATTO</w:t>
            </w:r>
          </w:p>
          <w:p w:rsidR="00CC7B4D" w:rsidRPr="00B84974" w:rsidRDefault="00CC7B4D">
            <w:pPr>
              <w:spacing w:after="0" w:line="240" w:lineRule="auto"/>
              <w:ind w:left="1416"/>
              <w:rPr>
                <w:rFonts w:ascii="Tahoma" w:eastAsia="Times New Roman" w:hAnsi="Tahoma" w:cs="Tahoma"/>
                <w:b/>
                <w:color w:val="000000"/>
                <w:sz w:val="16"/>
              </w:rPr>
            </w:pPr>
          </w:p>
          <w:p w:rsidR="00CC7B4D" w:rsidRDefault="00CC7B4D">
            <w:pPr>
              <w:spacing w:after="0" w:line="240" w:lineRule="auto"/>
              <w:ind w:left="1416"/>
            </w:pPr>
            <w:r>
              <w:rPr>
                <w:rFonts w:ascii="Tahoma" w:eastAsia="Times New Roman" w:hAnsi="Tahoma" w:cs="Tahoma"/>
                <w:color w:val="000000"/>
              </w:rPr>
              <w:t>1 marginale</w:t>
            </w:r>
          </w:p>
          <w:p w:rsidR="00CC7B4D" w:rsidRDefault="00CC7B4D">
            <w:pPr>
              <w:spacing w:after="0" w:line="240" w:lineRule="auto"/>
              <w:ind w:left="1416"/>
            </w:pPr>
            <w:r>
              <w:rPr>
                <w:rFonts w:ascii="Tahoma" w:eastAsia="Times New Roman" w:hAnsi="Tahoma" w:cs="Tahoma"/>
                <w:color w:val="000000"/>
              </w:rPr>
              <w:t>2 minore</w:t>
            </w:r>
          </w:p>
          <w:p w:rsidR="00CC7B4D" w:rsidRDefault="00CC7B4D">
            <w:pPr>
              <w:spacing w:after="0" w:line="240" w:lineRule="auto"/>
              <w:ind w:left="1416"/>
            </w:pPr>
            <w:r>
              <w:rPr>
                <w:rFonts w:ascii="Tahoma" w:eastAsia="Times New Roman" w:hAnsi="Tahoma" w:cs="Tahoma"/>
                <w:color w:val="000000"/>
              </w:rPr>
              <w:t>3 soglia</w:t>
            </w:r>
          </w:p>
          <w:p w:rsidR="00CC7B4D" w:rsidRDefault="00CC7B4D">
            <w:pPr>
              <w:spacing w:after="0" w:line="240" w:lineRule="auto"/>
              <w:ind w:left="1416"/>
            </w:pPr>
            <w:r>
              <w:rPr>
                <w:rFonts w:ascii="Tahoma" w:eastAsia="Times New Roman" w:hAnsi="Tahoma" w:cs="Tahoma"/>
                <w:color w:val="000000"/>
              </w:rPr>
              <w:t>4 serio</w:t>
            </w:r>
          </w:p>
          <w:p w:rsidR="00CC7B4D" w:rsidRDefault="00CC7B4D">
            <w:pPr>
              <w:spacing w:after="0" w:line="240" w:lineRule="auto"/>
              <w:ind w:left="1416"/>
            </w:pPr>
            <w:r>
              <w:rPr>
                <w:rFonts w:ascii="Tahoma" w:eastAsia="Times New Roman" w:hAnsi="Tahoma" w:cs="Tahoma"/>
                <w:color w:val="000000"/>
              </w:rPr>
              <w:t>5 superiore</w:t>
            </w:r>
          </w:p>
        </w:tc>
      </w:tr>
    </w:tbl>
    <w:p w:rsidR="00CC7B4D" w:rsidRDefault="00CC7B4D">
      <w:pPr>
        <w:spacing w:after="0"/>
        <w:jc w:val="both"/>
        <w:rPr>
          <w:rFonts w:ascii="Tahoma" w:hAnsi="Tahoma" w:cs="Tahoma"/>
        </w:rPr>
      </w:pPr>
    </w:p>
    <w:p w:rsidR="00CC7B4D" w:rsidRDefault="00CC7B4D">
      <w:pPr>
        <w:spacing w:after="0"/>
        <w:jc w:val="both"/>
      </w:pPr>
      <w:r>
        <w:rPr>
          <w:rFonts w:ascii="Tahoma" w:hAnsi="Tahoma" w:cs="Tahoma"/>
        </w:rPr>
        <w:t xml:space="preserve">Per ognuno dei processi individuati è stato chiesto </w:t>
      </w:r>
      <w:r>
        <w:rPr>
          <w:rFonts w:ascii="Tahoma" w:hAnsi="Tahoma" w:cs="Tahoma"/>
          <w:color w:val="000000"/>
        </w:rPr>
        <w:t xml:space="preserve">all’Amministratore unico e al Direttore Amministrativo </w:t>
      </w:r>
      <w:r>
        <w:rPr>
          <w:rFonts w:ascii="Tahoma" w:hAnsi="Tahoma" w:cs="Tahoma"/>
        </w:rPr>
        <w:t xml:space="preserve">di </w:t>
      </w:r>
      <w:r w:rsidR="001804B1">
        <w:rPr>
          <w:rFonts w:ascii="Tahoma" w:hAnsi="Tahoma" w:cs="Tahoma"/>
        </w:rPr>
        <w:t xml:space="preserve">dare una valutazione circa </w:t>
      </w:r>
      <w:r>
        <w:rPr>
          <w:rFonts w:ascii="Tahoma" w:hAnsi="Tahoma" w:cs="Tahoma"/>
        </w:rPr>
        <w:t xml:space="preserve">il valore di probabilità e impatto per ciascun processo al </w:t>
      </w:r>
      <w:r w:rsidR="001804B1">
        <w:rPr>
          <w:rFonts w:ascii="Tahoma" w:hAnsi="Tahoma" w:cs="Tahoma"/>
        </w:rPr>
        <w:t xml:space="preserve">fine di </w:t>
      </w:r>
      <w:r>
        <w:rPr>
          <w:rFonts w:ascii="Tahoma" w:hAnsi="Tahoma" w:cs="Tahoma"/>
        </w:rPr>
        <w:t>associare l’effettivo rischio corruttivo.</w:t>
      </w:r>
    </w:p>
    <w:p w:rsidR="001804B1" w:rsidRDefault="001804B1">
      <w:pPr>
        <w:spacing w:after="0"/>
        <w:jc w:val="both"/>
        <w:rPr>
          <w:rFonts w:ascii="Tahoma" w:hAnsi="Tahoma" w:cs="Tahoma"/>
          <w:b/>
          <w:bCs/>
        </w:rPr>
      </w:pPr>
    </w:p>
    <w:p w:rsidR="001804B1" w:rsidRDefault="001804B1">
      <w:pPr>
        <w:spacing w:after="0"/>
        <w:jc w:val="both"/>
        <w:rPr>
          <w:rFonts w:ascii="Tahoma" w:hAnsi="Tahoma" w:cs="Tahoma"/>
          <w:b/>
          <w:bCs/>
        </w:rPr>
        <w:sectPr w:rsidR="001804B1" w:rsidSect="00452379">
          <w:footerReference w:type="default" r:id="rId14"/>
          <w:headerReference w:type="first" r:id="rId15"/>
          <w:footerReference w:type="first" r:id="rId16"/>
          <w:pgSz w:w="11906" w:h="16838"/>
          <w:pgMar w:top="1418" w:right="1134" w:bottom="1134" w:left="1134" w:header="720" w:footer="720" w:gutter="0"/>
          <w:cols w:space="720"/>
          <w:docGrid w:linePitch="360" w:charSpace="-2254"/>
        </w:sectPr>
      </w:pPr>
    </w:p>
    <w:p w:rsidR="00CC7B4D" w:rsidRDefault="00CC7B4D">
      <w:pPr>
        <w:spacing w:after="0"/>
        <w:jc w:val="both"/>
      </w:pPr>
      <w:r>
        <w:rPr>
          <w:rFonts w:ascii="Tahoma" w:hAnsi="Tahoma" w:cs="Tahoma"/>
          <w:b/>
          <w:bCs/>
        </w:rPr>
        <w:lastRenderedPageBreak/>
        <w:t>La Valutazione della Rischiosità del Processo</w:t>
      </w:r>
    </w:p>
    <w:p w:rsidR="00CC7B4D" w:rsidRDefault="00CC7B4D">
      <w:pPr>
        <w:spacing w:after="0"/>
        <w:jc w:val="both"/>
      </w:pPr>
      <w:r>
        <w:rPr>
          <w:rFonts w:ascii="Tahoma" w:hAnsi="Tahoma" w:cs="Tahoma"/>
        </w:rPr>
        <w:t>Al fine di quantificare la gravità del rischio e prendere le necessarie precauzioni, ad ognuno dei processi individuati è stata associata la media dei punteggi di Impatto e Probabilità esitati dalla somministrazione, ai soggetti competenti, delle 9 domande, e collocati all’interno della tabella a doppia entrata sottostante. Sulla base del loro posizionamento si è ricavata l’informazione circa la rischiosità del processo in esame (vedi allegato).</w:t>
      </w:r>
    </w:p>
    <w:tbl>
      <w:tblPr>
        <w:tblW w:w="0" w:type="auto"/>
        <w:tblInd w:w="108" w:type="dxa"/>
        <w:tblLayout w:type="fixed"/>
        <w:tblLook w:val="0000"/>
      </w:tblPr>
      <w:tblGrid>
        <w:gridCol w:w="2576"/>
        <w:gridCol w:w="2388"/>
        <w:gridCol w:w="2384"/>
        <w:gridCol w:w="2383"/>
        <w:gridCol w:w="2382"/>
        <w:gridCol w:w="2398"/>
      </w:tblGrid>
      <w:tr w:rsidR="00CC7B4D">
        <w:trPr>
          <w:trHeight w:val="624"/>
        </w:trPr>
        <w:tc>
          <w:tcPr>
            <w:tcW w:w="2576" w:type="dxa"/>
            <w:tcBorders>
              <w:top w:val="single" w:sz="4" w:space="0" w:color="000000"/>
              <w:left w:val="single" w:sz="4" w:space="0" w:color="000000"/>
              <w:bottom w:val="single" w:sz="4" w:space="0" w:color="000000"/>
            </w:tcBorders>
            <w:shd w:val="clear" w:color="auto" w:fill="auto"/>
            <w:vAlign w:val="center"/>
          </w:tcPr>
          <w:p w:rsidR="00CC7B4D" w:rsidRDefault="00CC7B4D">
            <w:pPr>
              <w:spacing w:after="0" w:line="240" w:lineRule="auto"/>
              <w:ind w:left="1416"/>
            </w:pPr>
            <w:r>
              <w:rPr>
                <w:rFonts w:ascii="Tahoma" w:hAnsi="Tahoma" w:cs="Tahoma"/>
                <w:b/>
                <w:bCs/>
                <w:sz w:val="20"/>
              </w:rPr>
              <w:t>IMPATTO</w:t>
            </w:r>
          </w:p>
          <w:p w:rsidR="00CC7B4D" w:rsidRDefault="00CC7B4D">
            <w:pPr>
              <w:spacing w:after="0" w:line="240" w:lineRule="auto"/>
              <w:rPr>
                <w:rFonts w:ascii="Tahoma" w:hAnsi="Tahoma" w:cs="Tahoma"/>
                <w:b/>
                <w:bCs/>
                <w:sz w:val="16"/>
              </w:rPr>
            </w:pPr>
          </w:p>
          <w:p w:rsidR="00CC7B4D" w:rsidRDefault="00CC7B4D">
            <w:pPr>
              <w:spacing w:after="0" w:line="240" w:lineRule="auto"/>
            </w:pPr>
            <w:r>
              <w:rPr>
                <w:rFonts w:ascii="Tahoma" w:hAnsi="Tahoma" w:cs="Tahoma"/>
                <w:b/>
                <w:bCs/>
                <w:sz w:val="20"/>
              </w:rPr>
              <w:t>PROBABILITA’</w:t>
            </w:r>
          </w:p>
        </w:tc>
        <w:tc>
          <w:tcPr>
            <w:tcW w:w="2388" w:type="dxa"/>
            <w:tcBorders>
              <w:top w:val="single" w:sz="4" w:space="0" w:color="000000"/>
              <w:left w:val="single" w:sz="4" w:space="0" w:color="000000"/>
              <w:bottom w:val="single" w:sz="4" w:space="0" w:color="000000"/>
            </w:tcBorders>
            <w:shd w:val="clear" w:color="auto" w:fill="auto"/>
            <w:vAlign w:val="center"/>
          </w:tcPr>
          <w:p w:rsidR="00CC7B4D" w:rsidRDefault="00CC7B4D">
            <w:pPr>
              <w:spacing w:after="0" w:line="240" w:lineRule="auto"/>
              <w:jc w:val="center"/>
            </w:pPr>
            <w:r>
              <w:rPr>
                <w:rFonts w:ascii="Tahoma" w:hAnsi="Tahoma" w:cs="Tahoma"/>
                <w:b/>
                <w:sz w:val="20"/>
              </w:rPr>
              <w:t>1 marginale</w:t>
            </w:r>
          </w:p>
        </w:tc>
        <w:tc>
          <w:tcPr>
            <w:tcW w:w="2384" w:type="dxa"/>
            <w:tcBorders>
              <w:top w:val="single" w:sz="4" w:space="0" w:color="000000"/>
              <w:left w:val="single" w:sz="4" w:space="0" w:color="000000"/>
              <w:bottom w:val="single" w:sz="4" w:space="0" w:color="000000"/>
            </w:tcBorders>
            <w:shd w:val="clear" w:color="auto" w:fill="auto"/>
            <w:vAlign w:val="center"/>
          </w:tcPr>
          <w:p w:rsidR="00CC7B4D" w:rsidRDefault="00CC7B4D">
            <w:pPr>
              <w:spacing w:after="0" w:line="240" w:lineRule="auto"/>
              <w:jc w:val="center"/>
            </w:pPr>
            <w:r>
              <w:rPr>
                <w:rFonts w:ascii="Tahoma" w:hAnsi="Tahoma" w:cs="Tahoma"/>
                <w:b/>
                <w:sz w:val="20"/>
              </w:rPr>
              <w:t>2 minore</w:t>
            </w:r>
          </w:p>
        </w:tc>
        <w:tc>
          <w:tcPr>
            <w:tcW w:w="2383" w:type="dxa"/>
            <w:tcBorders>
              <w:top w:val="single" w:sz="4" w:space="0" w:color="000000"/>
              <w:left w:val="single" w:sz="4" w:space="0" w:color="000000"/>
              <w:bottom w:val="single" w:sz="4" w:space="0" w:color="000000"/>
            </w:tcBorders>
            <w:shd w:val="clear" w:color="auto" w:fill="auto"/>
            <w:vAlign w:val="center"/>
          </w:tcPr>
          <w:p w:rsidR="00CC7B4D" w:rsidRDefault="00CC7B4D">
            <w:pPr>
              <w:spacing w:after="0" w:line="240" w:lineRule="auto"/>
              <w:jc w:val="center"/>
            </w:pPr>
            <w:r>
              <w:rPr>
                <w:rFonts w:ascii="Tahoma" w:hAnsi="Tahoma" w:cs="Tahoma"/>
                <w:b/>
                <w:sz w:val="20"/>
              </w:rPr>
              <w:t>3 soglia</w:t>
            </w:r>
          </w:p>
        </w:tc>
        <w:tc>
          <w:tcPr>
            <w:tcW w:w="2382" w:type="dxa"/>
            <w:tcBorders>
              <w:top w:val="single" w:sz="4" w:space="0" w:color="000000"/>
              <w:left w:val="single" w:sz="4" w:space="0" w:color="000000"/>
              <w:bottom w:val="single" w:sz="4" w:space="0" w:color="000000"/>
            </w:tcBorders>
            <w:shd w:val="clear" w:color="auto" w:fill="auto"/>
            <w:vAlign w:val="center"/>
          </w:tcPr>
          <w:p w:rsidR="00CC7B4D" w:rsidRDefault="00CC7B4D">
            <w:pPr>
              <w:spacing w:after="0" w:line="240" w:lineRule="auto"/>
              <w:jc w:val="center"/>
            </w:pPr>
            <w:r>
              <w:rPr>
                <w:rFonts w:ascii="Tahoma" w:hAnsi="Tahoma" w:cs="Tahoma"/>
                <w:b/>
                <w:sz w:val="20"/>
              </w:rPr>
              <w:t>4 serio</w:t>
            </w:r>
          </w:p>
        </w:tc>
        <w:tc>
          <w:tcPr>
            <w:tcW w:w="23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7B4D" w:rsidRDefault="00CC7B4D">
            <w:pPr>
              <w:spacing w:after="0" w:line="240" w:lineRule="auto"/>
              <w:jc w:val="center"/>
            </w:pPr>
            <w:r>
              <w:rPr>
                <w:rFonts w:ascii="Tahoma" w:hAnsi="Tahoma" w:cs="Tahoma"/>
                <w:b/>
                <w:sz w:val="20"/>
              </w:rPr>
              <w:t>5 superiore</w:t>
            </w:r>
          </w:p>
        </w:tc>
      </w:tr>
      <w:tr w:rsidR="00CC7B4D">
        <w:trPr>
          <w:trHeight w:val="624"/>
        </w:trPr>
        <w:tc>
          <w:tcPr>
            <w:tcW w:w="2576" w:type="dxa"/>
            <w:tcBorders>
              <w:top w:val="single" w:sz="4" w:space="0" w:color="000000"/>
              <w:left w:val="single" w:sz="4" w:space="0" w:color="000000"/>
              <w:bottom w:val="single" w:sz="4" w:space="0" w:color="000000"/>
            </w:tcBorders>
            <w:shd w:val="clear" w:color="auto" w:fill="auto"/>
            <w:vAlign w:val="center"/>
          </w:tcPr>
          <w:p w:rsidR="00CC7B4D" w:rsidRDefault="00CC7B4D">
            <w:pPr>
              <w:spacing w:after="0" w:line="240" w:lineRule="auto"/>
            </w:pPr>
            <w:r>
              <w:rPr>
                <w:rFonts w:ascii="Tahoma" w:hAnsi="Tahoma" w:cs="Tahoma"/>
                <w:b/>
                <w:sz w:val="20"/>
              </w:rPr>
              <w:t>1 improbabile</w:t>
            </w:r>
          </w:p>
        </w:tc>
        <w:tc>
          <w:tcPr>
            <w:tcW w:w="2388" w:type="dxa"/>
            <w:tcBorders>
              <w:top w:val="single" w:sz="4" w:space="0" w:color="000000"/>
              <w:left w:val="single" w:sz="4" w:space="0" w:color="000000"/>
              <w:bottom w:val="single" w:sz="4" w:space="0" w:color="000000"/>
            </w:tcBorders>
            <w:shd w:val="clear" w:color="auto" w:fill="00B0F0"/>
            <w:vAlign w:val="center"/>
          </w:tcPr>
          <w:p w:rsidR="00CC7B4D" w:rsidRDefault="00CC7B4D">
            <w:pPr>
              <w:spacing w:after="0" w:line="240" w:lineRule="auto"/>
              <w:jc w:val="center"/>
            </w:pPr>
            <w:r>
              <w:rPr>
                <w:rFonts w:ascii="Tahoma" w:hAnsi="Tahoma" w:cs="Tahoma"/>
                <w:b/>
                <w:bCs/>
                <w:sz w:val="20"/>
              </w:rPr>
              <w:t>1</w:t>
            </w:r>
          </w:p>
        </w:tc>
        <w:tc>
          <w:tcPr>
            <w:tcW w:w="2384" w:type="dxa"/>
            <w:tcBorders>
              <w:top w:val="single" w:sz="4" w:space="0" w:color="000000"/>
              <w:left w:val="single" w:sz="4" w:space="0" w:color="000000"/>
              <w:bottom w:val="single" w:sz="4" w:space="0" w:color="000000"/>
            </w:tcBorders>
            <w:shd w:val="clear" w:color="auto" w:fill="00B0F0"/>
            <w:vAlign w:val="center"/>
          </w:tcPr>
          <w:p w:rsidR="00CC7B4D" w:rsidRDefault="00CC7B4D">
            <w:pPr>
              <w:spacing w:after="0" w:line="240" w:lineRule="auto"/>
              <w:jc w:val="center"/>
            </w:pPr>
            <w:r>
              <w:rPr>
                <w:rFonts w:ascii="Tahoma" w:hAnsi="Tahoma" w:cs="Tahoma"/>
                <w:b/>
                <w:bCs/>
                <w:sz w:val="20"/>
              </w:rPr>
              <w:t>2</w:t>
            </w:r>
          </w:p>
        </w:tc>
        <w:tc>
          <w:tcPr>
            <w:tcW w:w="2383" w:type="dxa"/>
            <w:tcBorders>
              <w:top w:val="single" w:sz="4" w:space="0" w:color="000000"/>
              <w:left w:val="single" w:sz="4" w:space="0" w:color="000000"/>
              <w:bottom w:val="single" w:sz="4" w:space="0" w:color="000000"/>
            </w:tcBorders>
            <w:shd w:val="clear" w:color="auto" w:fill="00B0F0"/>
            <w:vAlign w:val="center"/>
          </w:tcPr>
          <w:p w:rsidR="00CC7B4D" w:rsidRDefault="00CC7B4D">
            <w:pPr>
              <w:spacing w:after="0" w:line="240" w:lineRule="auto"/>
              <w:jc w:val="center"/>
            </w:pPr>
            <w:r>
              <w:rPr>
                <w:rFonts w:ascii="Tahoma" w:hAnsi="Tahoma" w:cs="Tahoma"/>
                <w:b/>
                <w:bCs/>
                <w:sz w:val="20"/>
              </w:rPr>
              <w:t>3</w:t>
            </w:r>
          </w:p>
        </w:tc>
        <w:tc>
          <w:tcPr>
            <w:tcW w:w="2382" w:type="dxa"/>
            <w:tcBorders>
              <w:top w:val="single" w:sz="4" w:space="0" w:color="000000"/>
              <w:left w:val="single" w:sz="4" w:space="0" w:color="000000"/>
              <w:bottom w:val="single" w:sz="4" w:space="0" w:color="000000"/>
            </w:tcBorders>
            <w:shd w:val="clear" w:color="auto" w:fill="92D050"/>
            <w:vAlign w:val="center"/>
          </w:tcPr>
          <w:p w:rsidR="00CC7B4D" w:rsidRDefault="00CC7B4D">
            <w:pPr>
              <w:spacing w:after="0" w:line="240" w:lineRule="auto"/>
              <w:jc w:val="center"/>
            </w:pPr>
            <w:r>
              <w:rPr>
                <w:rFonts w:ascii="Tahoma" w:hAnsi="Tahoma" w:cs="Tahoma"/>
                <w:b/>
                <w:bCs/>
                <w:sz w:val="20"/>
              </w:rPr>
              <w:t>4</w:t>
            </w:r>
          </w:p>
        </w:tc>
        <w:tc>
          <w:tcPr>
            <w:tcW w:w="2398" w:type="dxa"/>
            <w:tcBorders>
              <w:top w:val="single" w:sz="4" w:space="0" w:color="000000"/>
              <w:left w:val="single" w:sz="4" w:space="0" w:color="000000"/>
              <w:bottom w:val="single" w:sz="4" w:space="0" w:color="000000"/>
              <w:right w:val="single" w:sz="4" w:space="0" w:color="000000"/>
            </w:tcBorders>
            <w:shd w:val="clear" w:color="auto" w:fill="92D050"/>
            <w:vAlign w:val="center"/>
          </w:tcPr>
          <w:p w:rsidR="00CC7B4D" w:rsidRDefault="00CC7B4D">
            <w:pPr>
              <w:spacing w:after="0" w:line="240" w:lineRule="auto"/>
              <w:jc w:val="center"/>
            </w:pPr>
            <w:r>
              <w:rPr>
                <w:rFonts w:ascii="Tahoma" w:hAnsi="Tahoma" w:cs="Tahoma"/>
                <w:b/>
                <w:bCs/>
                <w:sz w:val="20"/>
              </w:rPr>
              <w:t>5</w:t>
            </w:r>
          </w:p>
        </w:tc>
      </w:tr>
      <w:tr w:rsidR="00CC7B4D">
        <w:trPr>
          <w:trHeight w:val="624"/>
        </w:trPr>
        <w:tc>
          <w:tcPr>
            <w:tcW w:w="2576" w:type="dxa"/>
            <w:tcBorders>
              <w:top w:val="single" w:sz="4" w:space="0" w:color="000000"/>
              <w:left w:val="single" w:sz="4" w:space="0" w:color="000000"/>
              <w:bottom w:val="single" w:sz="4" w:space="0" w:color="000000"/>
            </w:tcBorders>
            <w:shd w:val="clear" w:color="auto" w:fill="auto"/>
            <w:vAlign w:val="center"/>
          </w:tcPr>
          <w:p w:rsidR="00CC7B4D" w:rsidRDefault="00CC7B4D">
            <w:pPr>
              <w:spacing w:after="0" w:line="240" w:lineRule="auto"/>
            </w:pPr>
            <w:r>
              <w:rPr>
                <w:rFonts w:ascii="Tahoma" w:hAnsi="Tahoma" w:cs="Tahoma"/>
                <w:b/>
                <w:sz w:val="20"/>
              </w:rPr>
              <w:t>2 poco probabile</w:t>
            </w:r>
          </w:p>
        </w:tc>
        <w:tc>
          <w:tcPr>
            <w:tcW w:w="2388" w:type="dxa"/>
            <w:tcBorders>
              <w:top w:val="single" w:sz="4" w:space="0" w:color="000000"/>
              <w:left w:val="single" w:sz="4" w:space="0" w:color="000000"/>
              <w:bottom w:val="single" w:sz="4" w:space="0" w:color="000000"/>
            </w:tcBorders>
            <w:shd w:val="clear" w:color="auto" w:fill="00B0F0"/>
            <w:vAlign w:val="center"/>
          </w:tcPr>
          <w:p w:rsidR="00CC7B4D" w:rsidRDefault="00CC7B4D">
            <w:pPr>
              <w:spacing w:after="0" w:line="240" w:lineRule="auto"/>
              <w:jc w:val="center"/>
            </w:pPr>
            <w:r>
              <w:rPr>
                <w:rFonts w:ascii="Tahoma" w:hAnsi="Tahoma" w:cs="Tahoma"/>
                <w:b/>
                <w:bCs/>
                <w:sz w:val="20"/>
              </w:rPr>
              <w:t>2</w:t>
            </w:r>
          </w:p>
        </w:tc>
        <w:tc>
          <w:tcPr>
            <w:tcW w:w="2384" w:type="dxa"/>
            <w:tcBorders>
              <w:top w:val="single" w:sz="4" w:space="0" w:color="000000"/>
              <w:left w:val="single" w:sz="4" w:space="0" w:color="000000"/>
              <w:bottom w:val="single" w:sz="4" w:space="0" w:color="000000"/>
            </w:tcBorders>
            <w:shd w:val="clear" w:color="auto" w:fill="92D050"/>
            <w:vAlign w:val="center"/>
          </w:tcPr>
          <w:p w:rsidR="00CC7B4D" w:rsidRDefault="00CC7B4D">
            <w:pPr>
              <w:spacing w:after="0" w:line="240" w:lineRule="auto"/>
              <w:jc w:val="center"/>
            </w:pPr>
            <w:r>
              <w:rPr>
                <w:rFonts w:ascii="Tahoma" w:hAnsi="Tahoma" w:cs="Tahoma"/>
                <w:b/>
                <w:bCs/>
                <w:sz w:val="20"/>
              </w:rPr>
              <w:t>4</w:t>
            </w:r>
          </w:p>
        </w:tc>
        <w:tc>
          <w:tcPr>
            <w:tcW w:w="2383" w:type="dxa"/>
            <w:tcBorders>
              <w:top w:val="single" w:sz="4" w:space="0" w:color="000000"/>
              <w:left w:val="single" w:sz="4" w:space="0" w:color="000000"/>
              <w:bottom w:val="single" w:sz="4" w:space="0" w:color="000000"/>
            </w:tcBorders>
            <w:shd w:val="clear" w:color="auto" w:fill="92D050"/>
            <w:vAlign w:val="center"/>
          </w:tcPr>
          <w:p w:rsidR="00CC7B4D" w:rsidRDefault="00CC7B4D">
            <w:pPr>
              <w:spacing w:after="0" w:line="240" w:lineRule="auto"/>
              <w:jc w:val="center"/>
            </w:pPr>
            <w:r>
              <w:rPr>
                <w:rFonts w:ascii="Tahoma" w:hAnsi="Tahoma" w:cs="Tahoma"/>
                <w:b/>
                <w:bCs/>
                <w:sz w:val="20"/>
              </w:rPr>
              <w:t>6</w:t>
            </w:r>
          </w:p>
        </w:tc>
        <w:tc>
          <w:tcPr>
            <w:tcW w:w="2382" w:type="dxa"/>
            <w:tcBorders>
              <w:top w:val="single" w:sz="4" w:space="0" w:color="000000"/>
              <w:left w:val="single" w:sz="4" w:space="0" w:color="000000"/>
              <w:bottom w:val="single" w:sz="4" w:space="0" w:color="000000"/>
            </w:tcBorders>
            <w:shd w:val="clear" w:color="auto" w:fill="FFFF00"/>
            <w:vAlign w:val="center"/>
          </w:tcPr>
          <w:p w:rsidR="00CC7B4D" w:rsidRDefault="00CC7B4D">
            <w:pPr>
              <w:spacing w:after="0" w:line="240" w:lineRule="auto"/>
              <w:jc w:val="center"/>
            </w:pPr>
            <w:r>
              <w:rPr>
                <w:rFonts w:ascii="Tahoma" w:hAnsi="Tahoma" w:cs="Tahoma"/>
                <w:b/>
                <w:bCs/>
                <w:sz w:val="20"/>
              </w:rPr>
              <w:t>8</w:t>
            </w:r>
          </w:p>
        </w:tc>
        <w:tc>
          <w:tcPr>
            <w:tcW w:w="2398"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CC7B4D" w:rsidRDefault="00CC7B4D">
            <w:pPr>
              <w:spacing w:after="0" w:line="240" w:lineRule="auto"/>
              <w:jc w:val="center"/>
            </w:pPr>
            <w:r>
              <w:rPr>
                <w:rFonts w:ascii="Tahoma" w:hAnsi="Tahoma" w:cs="Tahoma"/>
                <w:b/>
                <w:bCs/>
                <w:sz w:val="20"/>
              </w:rPr>
              <w:t>10</w:t>
            </w:r>
          </w:p>
        </w:tc>
      </w:tr>
      <w:tr w:rsidR="00CC7B4D">
        <w:trPr>
          <w:trHeight w:val="624"/>
        </w:trPr>
        <w:tc>
          <w:tcPr>
            <w:tcW w:w="2576" w:type="dxa"/>
            <w:tcBorders>
              <w:top w:val="single" w:sz="4" w:space="0" w:color="000000"/>
              <w:left w:val="single" w:sz="4" w:space="0" w:color="000000"/>
              <w:bottom w:val="single" w:sz="4" w:space="0" w:color="000000"/>
            </w:tcBorders>
            <w:shd w:val="clear" w:color="auto" w:fill="auto"/>
            <w:vAlign w:val="center"/>
          </w:tcPr>
          <w:p w:rsidR="00CC7B4D" w:rsidRDefault="00CC7B4D">
            <w:pPr>
              <w:spacing w:after="0" w:line="240" w:lineRule="auto"/>
            </w:pPr>
            <w:r>
              <w:rPr>
                <w:rFonts w:ascii="Tahoma" w:hAnsi="Tahoma" w:cs="Tahoma"/>
                <w:b/>
                <w:sz w:val="20"/>
              </w:rPr>
              <w:t>3 probabile</w:t>
            </w:r>
          </w:p>
        </w:tc>
        <w:tc>
          <w:tcPr>
            <w:tcW w:w="2388" w:type="dxa"/>
            <w:tcBorders>
              <w:top w:val="single" w:sz="4" w:space="0" w:color="000000"/>
              <w:left w:val="single" w:sz="4" w:space="0" w:color="000000"/>
              <w:bottom w:val="single" w:sz="4" w:space="0" w:color="000000"/>
            </w:tcBorders>
            <w:shd w:val="clear" w:color="auto" w:fill="00B0F0"/>
            <w:vAlign w:val="center"/>
          </w:tcPr>
          <w:p w:rsidR="00CC7B4D" w:rsidRDefault="00CC7B4D">
            <w:pPr>
              <w:spacing w:after="0" w:line="240" w:lineRule="auto"/>
              <w:jc w:val="center"/>
            </w:pPr>
            <w:r>
              <w:rPr>
                <w:rFonts w:ascii="Tahoma" w:hAnsi="Tahoma" w:cs="Tahoma"/>
                <w:b/>
                <w:bCs/>
                <w:sz w:val="20"/>
              </w:rPr>
              <w:t>3</w:t>
            </w:r>
          </w:p>
        </w:tc>
        <w:tc>
          <w:tcPr>
            <w:tcW w:w="2384" w:type="dxa"/>
            <w:tcBorders>
              <w:top w:val="single" w:sz="4" w:space="0" w:color="000000"/>
              <w:left w:val="single" w:sz="4" w:space="0" w:color="000000"/>
              <w:bottom w:val="single" w:sz="4" w:space="0" w:color="000000"/>
            </w:tcBorders>
            <w:shd w:val="clear" w:color="auto" w:fill="92D050"/>
            <w:vAlign w:val="center"/>
          </w:tcPr>
          <w:p w:rsidR="00CC7B4D" w:rsidRDefault="00CC7B4D">
            <w:pPr>
              <w:spacing w:after="0" w:line="240" w:lineRule="auto"/>
              <w:jc w:val="center"/>
            </w:pPr>
            <w:r>
              <w:rPr>
                <w:rFonts w:ascii="Tahoma" w:hAnsi="Tahoma" w:cs="Tahoma"/>
                <w:b/>
                <w:bCs/>
                <w:sz w:val="20"/>
              </w:rPr>
              <w:t>6</w:t>
            </w:r>
          </w:p>
        </w:tc>
        <w:tc>
          <w:tcPr>
            <w:tcW w:w="2383" w:type="dxa"/>
            <w:tcBorders>
              <w:top w:val="single" w:sz="4" w:space="0" w:color="000000"/>
              <w:left w:val="single" w:sz="4" w:space="0" w:color="000000"/>
              <w:bottom w:val="single" w:sz="4" w:space="0" w:color="000000"/>
            </w:tcBorders>
            <w:shd w:val="clear" w:color="auto" w:fill="FFFF00"/>
            <w:vAlign w:val="center"/>
          </w:tcPr>
          <w:p w:rsidR="00CC7B4D" w:rsidRDefault="00CC7B4D">
            <w:pPr>
              <w:spacing w:after="0" w:line="240" w:lineRule="auto"/>
              <w:jc w:val="center"/>
            </w:pPr>
            <w:r>
              <w:rPr>
                <w:rFonts w:ascii="Tahoma" w:hAnsi="Tahoma" w:cs="Tahoma"/>
                <w:b/>
                <w:bCs/>
                <w:sz w:val="20"/>
              </w:rPr>
              <w:t>9</w:t>
            </w:r>
          </w:p>
        </w:tc>
        <w:tc>
          <w:tcPr>
            <w:tcW w:w="2382" w:type="dxa"/>
            <w:tcBorders>
              <w:top w:val="single" w:sz="4" w:space="0" w:color="000000"/>
              <w:left w:val="single" w:sz="4" w:space="0" w:color="000000"/>
              <w:bottom w:val="single" w:sz="4" w:space="0" w:color="000000"/>
            </w:tcBorders>
            <w:shd w:val="clear" w:color="auto" w:fill="FFFF00"/>
            <w:vAlign w:val="center"/>
          </w:tcPr>
          <w:p w:rsidR="00CC7B4D" w:rsidRDefault="00CC7B4D">
            <w:pPr>
              <w:spacing w:after="0" w:line="240" w:lineRule="auto"/>
              <w:jc w:val="center"/>
            </w:pPr>
            <w:r>
              <w:rPr>
                <w:rFonts w:ascii="Tahoma" w:hAnsi="Tahoma" w:cs="Tahoma"/>
                <w:b/>
                <w:bCs/>
                <w:sz w:val="20"/>
              </w:rPr>
              <w:t>12</w:t>
            </w:r>
          </w:p>
        </w:tc>
        <w:tc>
          <w:tcPr>
            <w:tcW w:w="2398"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CC7B4D" w:rsidRDefault="00CC7B4D">
            <w:pPr>
              <w:spacing w:after="0" w:line="240" w:lineRule="auto"/>
              <w:jc w:val="center"/>
            </w:pPr>
            <w:r>
              <w:rPr>
                <w:rFonts w:ascii="Tahoma" w:hAnsi="Tahoma" w:cs="Tahoma"/>
                <w:b/>
                <w:bCs/>
                <w:sz w:val="20"/>
              </w:rPr>
              <w:t>15</w:t>
            </w:r>
          </w:p>
        </w:tc>
      </w:tr>
      <w:tr w:rsidR="00CC7B4D">
        <w:trPr>
          <w:trHeight w:val="624"/>
        </w:trPr>
        <w:tc>
          <w:tcPr>
            <w:tcW w:w="2576" w:type="dxa"/>
            <w:tcBorders>
              <w:top w:val="single" w:sz="4" w:space="0" w:color="000000"/>
              <w:left w:val="single" w:sz="4" w:space="0" w:color="000000"/>
              <w:bottom w:val="single" w:sz="4" w:space="0" w:color="000000"/>
            </w:tcBorders>
            <w:shd w:val="clear" w:color="auto" w:fill="auto"/>
            <w:vAlign w:val="center"/>
          </w:tcPr>
          <w:p w:rsidR="00CC7B4D" w:rsidRDefault="00CC7B4D">
            <w:pPr>
              <w:spacing w:after="0" w:line="240" w:lineRule="auto"/>
            </w:pPr>
            <w:r>
              <w:rPr>
                <w:rFonts w:ascii="Tahoma" w:hAnsi="Tahoma" w:cs="Tahoma"/>
                <w:b/>
                <w:sz w:val="20"/>
              </w:rPr>
              <w:t>4 molto probabile</w:t>
            </w:r>
          </w:p>
        </w:tc>
        <w:tc>
          <w:tcPr>
            <w:tcW w:w="2388" w:type="dxa"/>
            <w:tcBorders>
              <w:top w:val="single" w:sz="4" w:space="0" w:color="000000"/>
              <w:left w:val="single" w:sz="4" w:space="0" w:color="000000"/>
              <w:bottom w:val="single" w:sz="4" w:space="0" w:color="000000"/>
            </w:tcBorders>
            <w:shd w:val="clear" w:color="auto" w:fill="92D050"/>
            <w:vAlign w:val="center"/>
          </w:tcPr>
          <w:p w:rsidR="00CC7B4D" w:rsidRDefault="00CC7B4D">
            <w:pPr>
              <w:spacing w:after="0" w:line="240" w:lineRule="auto"/>
              <w:jc w:val="center"/>
            </w:pPr>
            <w:r>
              <w:rPr>
                <w:rFonts w:ascii="Tahoma" w:hAnsi="Tahoma" w:cs="Tahoma"/>
                <w:b/>
                <w:bCs/>
                <w:sz w:val="20"/>
              </w:rPr>
              <w:t>4</w:t>
            </w:r>
          </w:p>
        </w:tc>
        <w:tc>
          <w:tcPr>
            <w:tcW w:w="2384" w:type="dxa"/>
            <w:tcBorders>
              <w:top w:val="single" w:sz="4" w:space="0" w:color="000000"/>
              <w:left w:val="single" w:sz="4" w:space="0" w:color="000000"/>
              <w:bottom w:val="single" w:sz="4" w:space="0" w:color="000000"/>
            </w:tcBorders>
            <w:shd w:val="clear" w:color="auto" w:fill="FFFF00"/>
            <w:vAlign w:val="center"/>
          </w:tcPr>
          <w:p w:rsidR="00CC7B4D" w:rsidRDefault="00CC7B4D">
            <w:pPr>
              <w:spacing w:after="0" w:line="240" w:lineRule="auto"/>
              <w:jc w:val="center"/>
            </w:pPr>
            <w:r>
              <w:rPr>
                <w:rFonts w:ascii="Tahoma" w:hAnsi="Tahoma" w:cs="Tahoma"/>
                <w:b/>
                <w:bCs/>
                <w:sz w:val="20"/>
              </w:rPr>
              <w:t>8</w:t>
            </w:r>
          </w:p>
        </w:tc>
        <w:tc>
          <w:tcPr>
            <w:tcW w:w="2383" w:type="dxa"/>
            <w:tcBorders>
              <w:top w:val="single" w:sz="4" w:space="0" w:color="000000"/>
              <w:left w:val="single" w:sz="4" w:space="0" w:color="000000"/>
              <w:bottom w:val="single" w:sz="4" w:space="0" w:color="000000"/>
            </w:tcBorders>
            <w:shd w:val="clear" w:color="auto" w:fill="FFFF00"/>
            <w:vAlign w:val="center"/>
          </w:tcPr>
          <w:p w:rsidR="00CC7B4D" w:rsidRDefault="00CC7B4D">
            <w:pPr>
              <w:spacing w:after="0" w:line="240" w:lineRule="auto"/>
              <w:jc w:val="center"/>
            </w:pPr>
            <w:r>
              <w:rPr>
                <w:rFonts w:ascii="Tahoma" w:hAnsi="Tahoma" w:cs="Tahoma"/>
                <w:b/>
                <w:bCs/>
                <w:sz w:val="20"/>
              </w:rPr>
              <w:t>12</w:t>
            </w:r>
          </w:p>
        </w:tc>
        <w:tc>
          <w:tcPr>
            <w:tcW w:w="2382" w:type="dxa"/>
            <w:tcBorders>
              <w:top w:val="single" w:sz="4" w:space="0" w:color="000000"/>
              <w:left w:val="single" w:sz="4" w:space="0" w:color="000000"/>
              <w:bottom w:val="single" w:sz="4" w:space="0" w:color="000000"/>
            </w:tcBorders>
            <w:shd w:val="clear" w:color="auto" w:fill="FF0000"/>
            <w:vAlign w:val="center"/>
          </w:tcPr>
          <w:p w:rsidR="00CC7B4D" w:rsidRDefault="00CC7B4D">
            <w:pPr>
              <w:spacing w:after="0" w:line="240" w:lineRule="auto"/>
              <w:jc w:val="center"/>
            </w:pPr>
            <w:r>
              <w:rPr>
                <w:rFonts w:ascii="Tahoma" w:hAnsi="Tahoma" w:cs="Tahoma"/>
                <w:b/>
                <w:bCs/>
                <w:sz w:val="20"/>
              </w:rPr>
              <w:t>16</w:t>
            </w:r>
          </w:p>
        </w:tc>
        <w:tc>
          <w:tcPr>
            <w:tcW w:w="2398"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CC7B4D" w:rsidRDefault="00CC7B4D">
            <w:pPr>
              <w:spacing w:after="0" w:line="240" w:lineRule="auto"/>
              <w:jc w:val="center"/>
            </w:pPr>
            <w:r>
              <w:rPr>
                <w:rFonts w:ascii="Tahoma" w:hAnsi="Tahoma" w:cs="Tahoma"/>
                <w:b/>
                <w:bCs/>
                <w:sz w:val="20"/>
              </w:rPr>
              <w:t>20</w:t>
            </w:r>
          </w:p>
        </w:tc>
      </w:tr>
      <w:tr w:rsidR="00CC7B4D">
        <w:trPr>
          <w:trHeight w:val="624"/>
        </w:trPr>
        <w:tc>
          <w:tcPr>
            <w:tcW w:w="2576" w:type="dxa"/>
            <w:tcBorders>
              <w:top w:val="single" w:sz="4" w:space="0" w:color="000000"/>
              <w:left w:val="single" w:sz="4" w:space="0" w:color="000000"/>
              <w:bottom w:val="single" w:sz="4" w:space="0" w:color="000000"/>
            </w:tcBorders>
            <w:shd w:val="clear" w:color="auto" w:fill="auto"/>
            <w:vAlign w:val="center"/>
          </w:tcPr>
          <w:p w:rsidR="00CC7B4D" w:rsidRDefault="00CC7B4D">
            <w:pPr>
              <w:spacing w:after="0" w:line="240" w:lineRule="auto"/>
            </w:pPr>
            <w:r>
              <w:rPr>
                <w:rFonts w:ascii="Tahoma" w:hAnsi="Tahoma" w:cs="Tahoma"/>
                <w:b/>
                <w:sz w:val="20"/>
              </w:rPr>
              <w:t>5 altamente probabile</w:t>
            </w:r>
          </w:p>
        </w:tc>
        <w:tc>
          <w:tcPr>
            <w:tcW w:w="2388" w:type="dxa"/>
            <w:tcBorders>
              <w:top w:val="single" w:sz="4" w:space="0" w:color="000000"/>
              <w:left w:val="single" w:sz="4" w:space="0" w:color="000000"/>
              <w:bottom w:val="single" w:sz="4" w:space="0" w:color="000000"/>
            </w:tcBorders>
            <w:shd w:val="clear" w:color="auto" w:fill="92D050"/>
            <w:vAlign w:val="center"/>
          </w:tcPr>
          <w:p w:rsidR="00CC7B4D" w:rsidRDefault="00CC7B4D">
            <w:pPr>
              <w:spacing w:after="0" w:line="240" w:lineRule="auto"/>
              <w:jc w:val="center"/>
            </w:pPr>
            <w:r>
              <w:rPr>
                <w:rFonts w:ascii="Tahoma" w:hAnsi="Tahoma" w:cs="Tahoma"/>
                <w:b/>
                <w:bCs/>
                <w:sz w:val="20"/>
              </w:rPr>
              <w:t>5</w:t>
            </w:r>
          </w:p>
        </w:tc>
        <w:tc>
          <w:tcPr>
            <w:tcW w:w="2384" w:type="dxa"/>
            <w:tcBorders>
              <w:top w:val="single" w:sz="4" w:space="0" w:color="000000"/>
              <w:left w:val="single" w:sz="4" w:space="0" w:color="000000"/>
              <w:bottom w:val="single" w:sz="4" w:space="0" w:color="000000"/>
            </w:tcBorders>
            <w:shd w:val="clear" w:color="auto" w:fill="FFFF00"/>
            <w:vAlign w:val="center"/>
          </w:tcPr>
          <w:p w:rsidR="00CC7B4D" w:rsidRDefault="00CC7B4D">
            <w:pPr>
              <w:spacing w:after="0" w:line="240" w:lineRule="auto"/>
              <w:jc w:val="center"/>
            </w:pPr>
            <w:r>
              <w:rPr>
                <w:rFonts w:ascii="Tahoma" w:hAnsi="Tahoma" w:cs="Tahoma"/>
                <w:b/>
                <w:bCs/>
                <w:sz w:val="20"/>
              </w:rPr>
              <w:t>10</w:t>
            </w:r>
          </w:p>
        </w:tc>
        <w:tc>
          <w:tcPr>
            <w:tcW w:w="2383" w:type="dxa"/>
            <w:tcBorders>
              <w:top w:val="single" w:sz="4" w:space="0" w:color="000000"/>
              <w:left w:val="single" w:sz="4" w:space="0" w:color="000000"/>
              <w:bottom w:val="single" w:sz="4" w:space="0" w:color="000000"/>
            </w:tcBorders>
            <w:shd w:val="clear" w:color="auto" w:fill="FF0000"/>
            <w:vAlign w:val="center"/>
          </w:tcPr>
          <w:p w:rsidR="00CC7B4D" w:rsidRDefault="00CC7B4D">
            <w:pPr>
              <w:spacing w:after="0" w:line="240" w:lineRule="auto"/>
              <w:jc w:val="center"/>
            </w:pPr>
            <w:r>
              <w:rPr>
                <w:rFonts w:ascii="Tahoma" w:hAnsi="Tahoma" w:cs="Tahoma"/>
                <w:b/>
                <w:bCs/>
                <w:sz w:val="20"/>
              </w:rPr>
              <w:t>15</w:t>
            </w:r>
          </w:p>
        </w:tc>
        <w:tc>
          <w:tcPr>
            <w:tcW w:w="2382" w:type="dxa"/>
            <w:tcBorders>
              <w:top w:val="single" w:sz="4" w:space="0" w:color="000000"/>
              <w:left w:val="single" w:sz="4" w:space="0" w:color="000000"/>
              <w:bottom w:val="single" w:sz="4" w:space="0" w:color="000000"/>
            </w:tcBorders>
            <w:shd w:val="clear" w:color="auto" w:fill="FF0000"/>
            <w:vAlign w:val="center"/>
          </w:tcPr>
          <w:p w:rsidR="00CC7B4D" w:rsidRDefault="00CC7B4D">
            <w:pPr>
              <w:spacing w:after="0" w:line="240" w:lineRule="auto"/>
              <w:jc w:val="center"/>
            </w:pPr>
            <w:r>
              <w:rPr>
                <w:rFonts w:ascii="Tahoma" w:hAnsi="Tahoma" w:cs="Tahoma"/>
                <w:b/>
                <w:bCs/>
                <w:sz w:val="20"/>
              </w:rPr>
              <w:t>20</w:t>
            </w:r>
          </w:p>
        </w:tc>
        <w:tc>
          <w:tcPr>
            <w:tcW w:w="2398"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CC7B4D" w:rsidRDefault="00CC7B4D">
            <w:pPr>
              <w:spacing w:after="0" w:line="240" w:lineRule="auto"/>
              <w:jc w:val="center"/>
            </w:pPr>
            <w:r>
              <w:rPr>
                <w:rFonts w:ascii="Tahoma" w:hAnsi="Tahoma" w:cs="Tahoma"/>
                <w:b/>
                <w:bCs/>
                <w:sz w:val="20"/>
              </w:rPr>
              <w:t>25</w:t>
            </w:r>
          </w:p>
        </w:tc>
      </w:tr>
    </w:tbl>
    <w:p w:rsidR="00CC7B4D" w:rsidRDefault="00CC7B4D">
      <w:pPr>
        <w:spacing w:after="0"/>
        <w:jc w:val="both"/>
        <w:rPr>
          <w:rFonts w:ascii="Tahoma" w:hAnsi="Tahoma" w:cs="Tahoma"/>
          <w:b/>
          <w:bCs/>
        </w:rPr>
      </w:pPr>
    </w:p>
    <w:tbl>
      <w:tblPr>
        <w:tblW w:w="0" w:type="auto"/>
        <w:tblInd w:w="106" w:type="dxa"/>
        <w:tblLayout w:type="fixed"/>
        <w:tblLook w:val="0000"/>
      </w:tblPr>
      <w:tblGrid>
        <w:gridCol w:w="1309"/>
        <w:gridCol w:w="1609"/>
        <w:gridCol w:w="2334"/>
      </w:tblGrid>
      <w:tr w:rsidR="00CC7B4D" w:rsidTr="00B84974">
        <w:trPr>
          <w:trHeight w:val="340"/>
        </w:trPr>
        <w:tc>
          <w:tcPr>
            <w:tcW w:w="1309" w:type="dxa"/>
            <w:tcBorders>
              <w:top w:val="single" w:sz="4" w:space="0" w:color="000000"/>
              <w:left w:val="single" w:sz="4" w:space="0" w:color="000000"/>
              <w:bottom w:val="single" w:sz="4" w:space="0" w:color="000000"/>
            </w:tcBorders>
            <w:shd w:val="clear" w:color="auto" w:fill="auto"/>
            <w:vAlign w:val="center"/>
          </w:tcPr>
          <w:p w:rsidR="00CC7B4D" w:rsidRDefault="00CC7B4D" w:rsidP="00B84974">
            <w:pPr>
              <w:spacing w:after="0" w:line="240" w:lineRule="auto"/>
            </w:pPr>
            <w:r>
              <w:rPr>
                <w:rFonts w:ascii="Tahoma" w:hAnsi="Tahoma" w:cs="Tahoma"/>
                <w:bCs/>
                <w:sz w:val="20"/>
              </w:rPr>
              <w:t xml:space="preserve">Da 1 a 3 </w:t>
            </w:r>
          </w:p>
        </w:tc>
        <w:tc>
          <w:tcPr>
            <w:tcW w:w="1609" w:type="dxa"/>
            <w:tcBorders>
              <w:top w:val="single" w:sz="4" w:space="0" w:color="000000"/>
              <w:left w:val="single" w:sz="4" w:space="0" w:color="000000"/>
              <w:bottom w:val="single" w:sz="4" w:space="0" w:color="000000"/>
            </w:tcBorders>
            <w:shd w:val="clear" w:color="auto" w:fill="auto"/>
            <w:vAlign w:val="center"/>
          </w:tcPr>
          <w:p w:rsidR="00CC7B4D" w:rsidRDefault="00CC7B4D" w:rsidP="00B84974">
            <w:pPr>
              <w:spacing w:after="0" w:line="240" w:lineRule="auto"/>
            </w:pPr>
            <w:r>
              <w:rPr>
                <w:rFonts w:ascii="Tahoma" w:hAnsi="Tahoma" w:cs="Tahoma"/>
                <w:bCs/>
                <w:sz w:val="20"/>
              </w:rPr>
              <w:t>Trascurabile</w:t>
            </w:r>
          </w:p>
        </w:tc>
        <w:tc>
          <w:tcPr>
            <w:tcW w:w="2334"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CC7B4D" w:rsidRDefault="00CC7B4D" w:rsidP="00B84974">
            <w:pPr>
              <w:snapToGrid w:val="0"/>
              <w:spacing w:after="0" w:line="240" w:lineRule="auto"/>
              <w:rPr>
                <w:rFonts w:ascii="Tahoma" w:hAnsi="Tahoma" w:cs="Tahoma"/>
                <w:b/>
                <w:bCs/>
                <w:sz w:val="20"/>
              </w:rPr>
            </w:pPr>
          </w:p>
        </w:tc>
      </w:tr>
      <w:tr w:rsidR="00CC7B4D" w:rsidTr="00B84974">
        <w:trPr>
          <w:trHeight w:val="340"/>
        </w:trPr>
        <w:tc>
          <w:tcPr>
            <w:tcW w:w="1309" w:type="dxa"/>
            <w:tcBorders>
              <w:top w:val="single" w:sz="4" w:space="0" w:color="000000"/>
              <w:left w:val="single" w:sz="4" w:space="0" w:color="000000"/>
              <w:bottom w:val="single" w:sz="4" w:space="0" w:color="000000"/>
            </w:tcBorders>
            <w:shd w:val="clear" w:color="auto" w:fill="auto"/>
            <w:vAlign w:val="center"/>
          </w:tcPr>
          <w:p w:rsidR="00CC7B4D" w:rsidRDefault="00CC7B4D" w:rsidP="00B84974">
            <w:pPr>
              <w:spacing w:after="0" w:line="240" w:lineRule="auto"/>
            </w:pPr>
            <w:r>
              <w:rPr>
                <w:rFonts w:ascii="Tahoma" w:hAnsi="Tahoma" w:cs="Tahoma"/>
                <w:bCs/>
                <w:sz w:val="20"/>
              </w:rPr>
              <w:t>Da 4 a 6</w:t>
            </w:r>
          </w:p>
        </w:tc>
        <w:tc>
          <w:tcPr>
            <w:tcW w:w="1609" w:type="dxa"/>
            <w:tcBorders>
              <w:top w:val="single" w:sz="4" w:space="0" w:color="000000"/>
              <w:left w:val="single" w:sz="4" w:space="0" w:color="000000"/>
              <w:bottom w:val="single" w:sz="4" w:space="0" w:color="000000"/>
            </w:tcBorders>
            <w:shd w:val="clear" w:color="auto" w:fill="auto"/>
            <w:vAlign w:val="center"/>
          </w:tcPr>
          <w:p w:rsidR="00CC7B4D" w:rsidRDefault="00CC7B4D" w:rsidP="00B84974">
            <w:pPr>
              <w:spacing w:after="0" w:line="240" w:lineRule="auto"/>
            </w:pPr>
            <w:r>
              <w:rPr>
                <w:rFonts w:ascii="Tahoma" w:hAnsi="Tahoma" w:cs="Tahoma"/>
                <w:bCs/>
                <w:sz w:val="20"/>
              </w:rPr>
              <w:t>Medio-basso</w:t>
            </w:r>
          </w:p>
        </w:tc>
        <w:tc>
          <w:tcPr>
            <w:tcW w:w="2334" w:type="dxa"/>
            <w:tcBorders>
              <w:top w:val="single" w:sz="4" w:space="0" w:color="000000"/>
              <w:left w:val="single" w:sz="4" w:space="0" w:color="000000"/>
              <w:bottom w:val="single" w:sz="4" w:space="0" w:color="000000"/>
              <w:right w:val="single" w:sz="4" w:space="0" w:color="000000"/>
            </w:tcBorders>
            <w:shd w:val="clear" w:color="auto" w:fill="92D050"/>
            <w:vAlign w:val="center"/>
          </w:tcPr>
          <w:p w:rsidR="00CC7B4D" w:rsidRDefault="00CC7B4D" w:rsidP="00B84974">
            <w:pPr>
              <w:snapToGrid w:val="0"/>
              <w:spacing w:after="0" w:line="240" w:lineRule="auto"/>
              <w:rPr>
                <w:rFonts w:ascii="Tahoma" w:hAnsi="Tahoma" w:cs="Tahoma"/>
                <w:b/>
                <w:bCs/>
                <w:sz w:val="20"/>
              </w:rPr>
            </w:pPr>
          </w:p>
        </w:tc>
      </w:tr>
      <w:tr w:rsidR="00CC7B4D" w:rsidTr="00B84974">
        <w:trPr>
          <w:trHeight w:val="340"/>
        </w:trPr>
        <w:tc>
          <w:tcPr>
            <w:tcW w:w="1309" w:type="dxa"/>
            <w:tcBorders>
              <w:top w:val="single" w:sz="4" w:space="0" w:color="000000"/>
              <w:left w:val="single" w:sz="4" w:space="0" w:color="000000"/>
              <w:bottom w:val="single" w:sz="4" w:space="0" w:color="000000"/>
            </w:tcBorders>
            <w:shd w:val="clear" w:color="auto" w:fill="auto"/>
            <w:vAlign w:val="center"/>
          </w:tcPr>
          <w:p w:rsidR="00CC7B4D" w:rsidRDefault="00CC7B4D" w:rsidP="00B84974">
            <w:pPr>
              <w:spacing w:after="0" w:line="240" w:lineRule="auto"/>
            </w:pPr>
            <w:r>
              <w:rPr>
                <w:rFonts w:ascii="Tahoma" w:hAnsi="Tahoma" w:cs="Tahoma"/>
                <w:bCs/>
                <w:sz w:val="20"/>
              </w:rPr>
              <w:t>Da 7 a 12</w:t>
            </w:r>
          </w:p>
        </w:tc>
        <w:tc>
          <w:tcPr>
            <w:tcW w:w="1609" w:type="dxa"/>
            <w:tcBorders>
              <w:top w:val="single" w:sz="4" w:space="0" w:color="000000"/>
              <w:left w:val="single" w:sz="4" w:space="0" w:color="000000"/>
              <w:bottom w:val="single" w:sz="4" w:space="0" w:color="000000"/>
            </w:tcBorders>
            <w:shd w:val="clear" w:color="auto" w:fill="auto"/>
            <w:vAlign w:val="center"/>
          </w:tcPr>
          <w:p w:rsidR="00CC7B4D" w:rsidRDefault="00CC7B4D" w:rsidP="00B84974">
            <w:pPr>
              <w:spacing w:after="0" w:line="240" w:lineRule="auto"/>
            </w:pPr>
            <w:r>
              <w:rPr>
                <w:rFonts w:ascii="Tahoma" w:hAnsi="Tahoma" w:cs="Tahoma"/>
                <w:bCs/>
                <w:sz w:val="20"/>
              </w:rPr>
              <w:t>Rilevante</w:t>
            </w:r>
          </w:p>
        </w:tc>
        <w:tc>
          <w:tcPr>
            <w:tcW w:w="2334"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CC7B4D" w:rsidRDefault="00CC7B4D" w:rsidP="00B84974">
            <w:pPr>
              <w:snapToGrid w:val="0"/>
              <w:spacing w:after="0" w:line="240" w:lineRule="auto"/>
              <w:rPr>
                <w:rFonts w:ascii="Tahoma" w:hAnsi="Tahoma" w:cs="Tahoma"/>
                <w:b/>
                <w:bCs/>
                <w:sz w:val="20"/>
              </w:rPr>
            </w:pPr>
          </w:p>
        </w:tc>
      </w:tr>
      <w:tr w:rsidR="00CC7B4D" w:rsidTr="00B84974">
        <w:trPr>
          <w:trHeight w:val="340"/>
        </w:trPr>
        <w:tc>
          <w:tcPr>
            <w:tcW w:w="1309" w:type="dxa"/>
            <w:tcBorders>
              <w:top w:val="single" w:sz="4" w:space="0" w:color="000000"/>
              <w:left w:val="single" w:sz="4" w:space="0" w:color="000000"/>
              <w:bottom w:val="single" w:sz="4" w:space="0" w:color="000000"/>
            </w:tcBorders>
            <w:shd w:val="clear" w:color="auto" w:fill="auto"/>
            <w:vAlign w:val="center"/>
          </w:tcPr>
          <w:p w:rsidR="00CC7B4D" w:rsidRDefault="00CC7B4D" w:rsidP="00B84974">
            <w:pPr>
              <w:spacing w:after="0" w:line="240" w:lineRule="auto"/>
            </w:pPr>
            <w:r>
              <w:rPr>
                <w:rFonts w:ascii="Tahoma" w:hAnsi="Tahoma" w:cs="Tahoma"/>
                <w:bCs/>
                <w:sz w:val="20"/>
              </w:rPr>
              <w:t>Da 13 a 25</w:t>
            </w:r>
          </w:p>
        </w:tc>
        <w:tc>
          <w:tcPr>
            <w:tcW w:w="1609" w:type="dxa"/>
            <w:tcBorders>
              <w:top w:val="single" w:sz="4" w:space="0" w:color="000000"/>
              <w:left w:val="single" w:sz="4" w:space="0" w:color="000000"/>
              <w:bottom w:val="single" w:sz="4" w:space="0" w:color="000000"/>
            </w:tcBorders>
            <w:shd w:val="clear" w:color="auto" w:fill="auto"/>
            <w:vAlign w:val="center"/>
          </w:tcPr>
          <w:p w:rsidR="00CC7B4D" w:rsidRDefault="00CC7B4D" w:rsidP="00B84974">
            <w:pPr>
              <w:spacing w:after="0" w:line="240" w:lineRule="auto"/>
            </w:pPr>
            <w:r>
              <w:rPr>
                <w:rFonts w:ascii="Tahoma" w:hAnsi="Tahoma" w:cs="Tahoma"/>
                <w:bCs/>
                <w:sz w:val="20"/>
              </w:rPr>
              <w:t>Critico</w:t>
            </w:r>
          </w:p>
        </w:tc>
        <w:tc>
          <w:tcPr>
            <w:tcW w:w="2334"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CC7B4D" w:rsidRDefault="00CC7B4D" w:rsidP="00B84974">
            <w:pPr>
              <w:snapToGrid w:val="0"/>
              <w:spacing w:after="0" w:line="240" w:lineRule="auto"/>
              <w:rPr>
                <w:rFonts w:ascii="Tahoma" w:hAnsi="Tahoma" w:cs="Tahoma"/>
                <w:b/>
                <w:bCs/>
                <w:sz w:val="20"/>
              </w:rPr>
            </w:pPr>
          </w:p>
        </w:tc>
      </w:tr>
    </w:tbl>
    <w:p w:rsidR="00CC7B4D" w:rsidRDefault="00CC7B4D">
      <w:pPr>
        <w:sectPr w:rsidR="00CC7B4D">
          <w:pgSz w:w="16838" w:h="11906" w:orient="landscape"/>
          <w:pgMar w:top="1134" w:right="1418" w:bottom="1134" w:left="1134" w:header="720" w:footer="720" w:gutter="0"/>
          <w:cols w:space="720"/>
          <w:docGrid w:linePitch="360" w:charSpace="-2254"/>
        </w:sectPr>
      </w:pPr>
    </w:p>
    <w:p w:rsidR="00CC7B4D" w:rsidRDefault="00CC7B4D">
      <w:pPr>
        <w:spacing w:after="0"/>
      </w:pPr>
      <w:r>
        <w:rPr>
          <w:rFonts w:ascii="Tahoma" w:hAnsi="Tahoma" w:cs="Tahoma"/>
          <w:b/>
          <w:bCs/>
        </w:rPr>
        <w:lastRenderedPageBreak/>
        <w:t>Trattamento del rischio</w:t>
      </w:r>
    </w:p>
    <w:p w:rsidR="00CC7B4D" w:rsidRDefault="00CC7B4D">
      <w:pPr>
        <w:spacing w:after="0"/>
        <w:ind w:left="7"/>
        <w:jc w:val="both"/>
      </w:pPr>
      <w:r>
        <w:rPr>
          <w:rFonts w:ascii="Tahoma" w:eastAsia="Times New Roman" w:hAnsi="Tahoma" w:cs="Tahoma"/>
        </w:rPr>
        <w:t>Questa fase è necessaria per individuare le azioni correttive e le modalità più idonee a prevenire i rischi. Tutte le azioni e le modalità individuate devono essere sostenibili sia nella fase di controllo che di monitoraggio al fine di evitare una pianificazione di misure astratte e non realizzabili.</w:t>
      </w:r>
    </w:p>
    <w:p w:rsidR="00CC7B4D" w:rsidRDefault="00CC7B4D">
      <w:pPr>
        <w:spacing w:after="0"/>
        <w:ind w:left="7"/>
        <w:jc w:val="both"/>
      </w:pPr>
      <w:r>
        <w:rPr>
          <w:rFonts w:ascii="Tahoma" w:eastAsia="Times New Roman" w:hAnsi="Tahoma" w:cs="Tahoma"/>
        </w:rPr>
        <w:t>Questa fase, pertanto ha visto la partecipazione attiva delle strutture titolari dei processi e dei relativi rischi (una volta individuati). Alle stesse strutture titolari è stato chiesto di identificare, descrivere e valutare i processi di propria pertinenza, e formulare le proposte in merito alle misure di prevenzione da porre in essere ai fini della mitigazione del rischio corruttivo.</w:t>
      </w:r>
    </w:p>
    <w:p w:rsidR="00CC7B4D" w:rsidRDefault="00CC7B4D">
      <w:pPr>
        <w:spacing w:after="0"/>
        <w:ind w:left="7"/>
        <w:jc w:val="both"/>
      </w:pPr>
      <w:r>
        <w:rPr>
          <w:rFonts w:ascii="Tahoma" w:eastAsia="Times New Roman" w:hAnsi="Tahoma" w:cs="Tahoma"/>
        </w:rPr>
        <w:t>Tutta l’attività svolta dalle strutture è stata oggetto di validazione del RPCT, che ha verificato la completezza dei dati inseriti e l’appropriatezza delle valutazioni effettuate e delle misure proposte.</w:t>
      </w:r>
    </w:p>
    <w:p w:rsidR="00CC7B4D" w:rsidRDefault="00CC7B4D">
      <w:pPr>
        <w:spacing w:after="0"/>
        <w:jc w:val="both"/>
        <w:rPr>
          <w:rFonts w:ascii="Tahoma" w:hAnsi="Tahoma" w:cs="Tahoma"/>
        </w:rPr>
      </w:pPr>
    </w:p>
    <w:p w:rsidR="00CC7B4D" w:rsidRDefault="00CC7B4D">
      <w:pPr>
        <w:spacing w:after="0"/>
        <w:jc w:val="both"/>
      </w:pPr>
      <w:r>
        <w:rPr>
          <w:rFonts w:ascii="Tahoma" w:hAnsi="Tahoma" w:cs="Tahoma"/>
          <w:b/>
          <w:bCs/>
        </w:rPr>
        <w:t>Monitoraggio del PTPC</w:t>
      </w:r>
    </w:p>
    <w:p w:rsidR="00CC7B4D" w:rsidRDefault="00CC7B4D">
      <w:pPr>
        <w:spacing w:after="0"/>
        <w:ind w:left="7"/>
        <w:jc w:val="both"/>
      </w:pPr>
      <w:r>
        <w:rPr>
          <w:rFonts w:ascii="Tahoma" w:eastAsia="Times New Roman" w:hAnsi="Tahoma" w:cs="Tahoma"/>
        </w:rPr>
        <w:t>Il processo di gestione del rischio si completa con l’azione di monitoraggio, che comporta la valutazione di tutte le fasi di gestione del rischio tenuto conto delle azioni di risposta alle misure di preve</w:t>
      </w:r>
      <w:r w:rsidR="002110C0">
        <w:rPr>
          <w:rFonts w:ascii="Tahoma" w:eastAsia="Times New Roman" w:hAnsi="Tahoma" w:cs="Tahoma"/>
        </w:rPr>
        <w:t xml:space="preserve">nzione introdotte. Questa fase, </w:t>
      </w:r>
      <w:r>
        <w:rPr>
          <w:rFonts w:ascii="Tahoma" w:eastAsia="Times New Roman" w:hAnsi="Tahoma" w:cs="Tahoma"/>
        </w:rPr>
        <w:t>sarà finalizzata alla verifica dell’efficacia dei sistemi di prevenzione adottati e, quindi, alla successiva messa in atto di ulteriori strategie di prevenzione. Il monitoraggio viene effettuato dai medesimi soggetti che partecipano al processo di gestione del rischio.</w:t>
      </w:r>
    </w:p>
    <w:p w:rsidR="00CC7B4D" w:rsidRDefault="00CC7B4D">
      <w:pPr>
        <w:spacing w:after="0"/>
        <w:ind w:left="7"/>
        <w:jc w:val="both"/>
      </w:pPr>
      <w:r>
        <w:rPr>
          <w:rFonts w:ascii="Tahoma" w:eastAsia="Times New Roman" w:hAnsi="Tahoma" w:cs="Tahoma"/>
        </w:rPr>
        <w:t>Le risultanze del monitoraggio saranno riportate anche all’interno della Relazione annuale del RPCT.</w:t>
      </w:r>
    </w:p>
    <w:p w:rsidR="00CC7B4D" w:rsidRDefault="00CC7B4D">
      <w:pPr>
        <w:spacing w:after="0"/>
        <w:ind w:left="7"/>
        <w:jc w:val="both"/>
      </w:pPr>
      <w:r>
        <w:rPr>
          <w:rFonts w:ascii="Tahoma" w:eastAsia="Times New Roman" w:hAnsi="Tahoma" w:cs="Tahoma"/>
        </w:rPr>
        <w:t>Rientrano tra le misure di monitoraggio:</w:t>
      </w:r>
    </w:p>
    <w:p w:rsidR="00CC7B4D" w:rsidRPr="000E0A04" w:rsidRDefault="00CC7B4D" w:rsidP="000E0A04">
      <w:pPr>
        <w:numPr>
          <w:ilvl w:val="0"/>
          <w:numId w:val="19"/>
        </w:numPr>
        <w:tabs>
          <w:tab w:val="left" w:pos="244"/>
        </w:tabs>
        <w:spacing w:after="0"/>
        <w:jc w:val="both"/>
        <w:rPr>
          <w:color w:val="00B050"/>
        </w:rPr>
      </w:pPr>
      <w:r w:rsidRPr="000E0A04">
        <w:rPr>
          <w:rFonts w:ascii="Tahoma" w:eastAsia="Times New Roman" w:hAnsi="Tahoma" w:cs="Tahoma"/>
          <w:color w:val="00B050"/>
        </w:rPr>
        <w:t>la predisposizione da parte del Responsabile della prevenzione, entro il 15 dicembre di ogni anno, di una relazione che riporta il rendiconto sull’efficacia delle misure di prevenzione definite nel Piano;</w:t>
      </w:r>
    </w:p>
    <w:p w:rsidR="00CC7B4D" w:rsidRDefault="00CC7B4D" w:rsidP="000E0A04">
      <w:pPr>
        <w:numPr>
          <w:ilvl w:val="0"/>
          <w:numId w:val="19"/>
        </w:numPr>
        <w:tabs>
          <w:tab w:val="left" w:pos="227"/>
        </w:tabs>
        <w:spacing w:after="0"/>
        <w:jc w:val="both"/>
      </w:pPr>
      <w:r>
        <w:rPr>
          <w:rFonts w:ascii="Tahoma" w:eastAsia="Times New Roman" w:hAnsi="Tahoma" w:cs="Tahoma"/>
        </w:rPr>
        <w:t>le attività di verifica svolte dall’OIV.</w:t>
      </w:r>
    </w:p>
    <w:p w:rsidR="00CC7B4D" w:rsidRDefault="00CC7B4D">
      <w:pPr>
        <w:spacing w:after="0"/>
        <w:jc w:val="both"/>
        <w:rPr>
          <w:rFonts w:ascii="Tahoma" w:hAnsi="Tahoma" w:cs="Tahoma"/>
        </w:rPr>
      </w:pPr>
    </w:p>
    <w:p w:rsidR="00CC7B4D" w:rsidRDefault="00CC7B4D">
      <w:pPr>
        <w:spacing w:after="0"/>
        <w:ind w:left="7"/>
        <w:jc w:val="both"/>
      </w:pPr>
      <w:r>
        <w:rPr>
          <w:rFonts w:ascii="Tahoma" w:eastAsia="Times New Roman" w:hAnsi="Tahoma" w:cs="Tahoma"/>
          <w:b/>
        </w:rPr>
        <w:t>I Soggetti della Prevenzione della Corruzione: compiti e responsabilità</w:t>
      </w:r>
    </w:p>
    <w:p w:rsidR="00CC7B4D" w:rsidRDefault="00CC7B4D">
      <w:pPr>
        <w:spacing w:after="0"/>
        <w:jc w:val="both"/>
      </w:pPr>
      <w:r>
        <w:rPr>
          <w:rFonts w:ascii="Tahoma" w:hAnsi="Tahoma" w:cs="Tahoma"/>
        </w:rPr>
        <w:t>I soggetti aziendali che agiscono sull’attuazione delle leggi in materia di contrasto alla corruzione</w:t>
      </w:r>
    </w:p>
    <w:p w:rsidR="00CC7B4D" w:rsidRDefault="00CC7B4D">
      <w:pPr>
        <w:spacing w:after="0"/>
        <w:jc w:val="both"/>
      </w:pPr>
      <w:r>
        <w:rPr>
          <w:rFonts w:ascii="Tahoma" w:hAnsi="Tahoma" w:cs="Tahoma"/>
        </w:rPr>
        <w:t>sono i seguenti:</w:t>
      </w:r>
    </w:p>
    <w:p w:rsidR="00CC7B4D" w:rsidRDefault="00CC7B4D">
      <w:pPr>
        <w:tabs>
          <w:tab w:val="left" w:pos="1407"/>
        </w:tabs>
        <w:spacing w:after="0"/>
        <w:jc w:val="both"/>
        <w:rPr>
          <w:rFonts w:ascii="Tahoma" w:eastAsia="Times New Roman" w:hAnsi="Tahoma" w:cs="Tahoma"/>
          <w:i/>
          <w:iCs/>
          <w:u w:val="single"/>
        </w:rPr>
      </w:pPr>
    </w:p>
    <w:p w:rsidR="00CC7B4D" w:rsidRPr="00C447A2" w:rsidRDefault="00CC7B4D">
      <w:pPr>
        <w:tabs>
          <w:tab w:val="left" w:pos="1407"/>
        </w:tabs>
        <w:spacing w:after="0"/>
        <w:jc w:val="both"/>
        <w:rPr>
          <w:i/>
        </w:rPr>
      </w:pPr>
      <w:r w:rsidRPr="00C447A2">
        <w:rPr>
          <w:rFonts w:ascii="Tahoma" w:eastAsia="Times New Roman" w:hAnsi="Tahoma" w:cs="Tahoma"/>
          <w:i/>
          <w:iCs/>
          <w:u w:val="single"/>
        </w:rPr>
        <w:t>L’Amministratore Unico</w:t>
      </w:r>
      <w:r w:rsidRPr="00C447A2">
        <w:rPr>
          <w:rFonts w:ascii="Tahoma" w:eastAsia="Times New Roman" w:hAnsi="Tahoma" w:cs="Tahoma"/>
          <w:i/>
        </w:rPr>
        <w:t>:</w:t>
      </w:r>
    </w:p>
    <w:p w:rsidR="00CC7B4D" w:rsidRDefault="00CC7B4D">
      <w:pPr>
        <w:numPr>
          <w:ilvl w:val="0"/>
          <w:numId w:val="10"/>
        </w:numPr>
        <w:tabs>
          <w:tab w:val="left" w:pos="727"/>
        </w:tabs>
        <w:spacing w:after="0"/>
        <w:ind w:left="727" w:right="20" w:hanging="367"/>
        <w:jc w:val="both"/>
      </w:pPr>
      <w:r>
        <w:rPr>
          <w:rFonts w:ascii="Tahoma" w:eastAsia="Times New Roman" w:hAnsi="Tahoma" w:cs="Tahoma"/>
        </w:rPr>
        <w:t>designa il Responsabile della Prevenzione della Corruzione e il Responsabile per la Trasparenza e ne dà comunicazione all’Autorità Nazionale Anticorruzione;</w:t>
      </w:r>
    </w:p>
    <w:p w:rsidR="00CC7B4D" w:rsidRDefault="00CC7B4D">
      <w:pPr>
        <w:numPr>
          <w:ilvl w:val="0"/>
          <w:numId w:val="10"/>
        </w:numPr>
        <w:tabs>
          <w:tab w:val="left" w:pos="727"/>
        </w:tabs>
        <w:spacing w:after="0"/>
        <w:ind w:left="727" w:hanging="367"/>
        <w:jc w:val="both"/>
      </w:pPr>
      <w:r>
        <w:rPr>
          <w:rFonts w:ascii="Tahoma" w:eastAsia="Times New Roman" w:hAnsi="Tahoma" w:cs="Tahoma"/>
        </w:rPr>
        <w:t>assicura al Responsabile della Prevenzione e al Responsabile della Trasparenza lo svolgimento di adeguati percorsi formativi e di aggiornamento annuale e un adeguato supporto, mediante assegnazione di appropriate risorse umane, strumentali e finanziarie, nei limiti della disponibilità di bilancio;</w:t>
      </w:r>
    </w:p>
    <w:p w:rsidR="00CC7B4D" w:rsidRDefault="00CC7B4D">
      <w:pPr>
        <w:numPr>
          <w:ilvl w:val="0"/>
          <w:numId w:val="10"/>
        </w:numPr>
        <w:tabs>
          <w:tab w:val="left" w:pos="727"/>
        </w:tabs>
        <w:spacing w:after="0"/>
        <w:ind w:left="727" w:hanging="367"/>
        <w:jc w:val="both"/>
      </w:pPr>
      <w:r>
        <w:rPr>
          <w:rFonts w:ascii="Tahoma" w:eastAsia="Times New Roman" w:hAnsi="Tahoma" w:cs="Tahoma"/>
        </w:rPr>
        <w:t>adotta, su proposta del Responsabile della Prevenzione e del Responsabile della Trasparenza, il Piano Triennale per la Prevenzione della Corruzione e il Programma Triennale per la Trasparenza e l’Integrità ed i loro aggiornamenti annuali;</w:t>
      </w:r>
    </w:p>
    <w:p w:rsidR="00CC7B4D" w:rsidRDefault="00CC7B4D">
      <w:pPr>
        <w:numPr>
          <w:ilvl w:val="0"/>
          <w:numId w:val="10"/>
        </w:numPr>
        <w:tabs>
          <w:tab w:val="left" w:pos="727"/>
        </w:tabs>
        <w:spacing w:after="0"/>
        <w:ind w:left="727" w:right="20" w:hanging="367"/>
        <w:jc w:val="both"/>
      </w:pPr>
      <w:r>
        <w:rPr>
          <w:rFonts w:ascii="Tahoma" w:eastAsia="Times New Roman" w:hAnsi="Tahoma" w:cs="Tahoma"/>
        </w:rPr>
        <w:t>adotta tutti i provvedimenti e gli atti di indirizzo di carattere generale che siano direttamente o indirettamente finalizzati alla prevenzione della corruzione, nonché gli atti volti a garantire il necessario coordinamento e collegamento tra il Piano e gli altri atti di programmazione aziendale;</w:t>
      </w:r>
    </w:p>
    <w:p w:rsidR="00CC7B4D" w:rsidRDefault="00C447A2">
      <w:pPr>
        <w:numPr>
          <w:ilvl w:val="0"/>
          <w:numId w:val="10"/>
        </w:numPr>
        <w:tabs>
          <w:tab w:val="left" w:pos="727"/>
        </w:tabs>
        <w:spacing w:after="0"/>
        <w:ind w:left="727" w:hanging="367"/>
        <w:jc w:val="both"/>
      </w:pPr>
      <w:r>
        <w:rPr>
          <w:rFonts w:ascii="Tahoma" w:eastAsia="Times New Roman" w:hAnsi="Tahoma" w:cs="Tahoma"/>
        </w:rPr>
        <w:t>l</w:t>
      </w:r>
      <w:r w:rsidR="00CC7B4D">
        <w:rPr>
          <w:rFonts w:ascii="Tahoma" w:eastAsia="Times New Roman" w:hAnsi="Tahoma" w:cs="Tahoma"/>
        </w:rPr>
        <w:t xml:space="preserve">a legge 28 dicembre 2015, n. 208 </w:t>
      </w:r>
      <w:r w:rsidR="00CC7B4D">
        <w:rPr>
          <w:rFonts w:ascii="Tahoma" w:eastAsia="Times New Roman" w:hAnsi="Tahoma" w:cs="Tahoma"/>
          <w:i/>
        </w:rPr>
        <w:t>“Disposizioni per la formazione del bilancio annuale e pluriennale</w:t>
      </w:r>
      <w:r w:rsidR="00CC7B4D">
        <w:rPr>
          <w:rFonts w:ascii="Tahoma" w:eastAsia="Times New Roman" w:hAnsi="Tahoma" w:cs="Tahoma"/>
        </w:rPr>
        <w:t xml:space="preserve"> </w:t>
      </w:r>
      <w:r w:rsidR="00CC7B4D">
        <w:rPr>
          <w:rFonts w:ascii="Tahoma" w:eastAsia="Times New Roman" w:hAnsi="Tahoma" w:cs="Tahoma"/>
          <w:i/>
        </w:rPr>
        <w:t>dello Stato (Legge di stabilità 2016)</w:t>
      </w:r>
      <w:r w:rsidR="00CC7B4D">
        <w:rPr>
          <w:rFonts w:ascii="Tahoma" w:eastAsia="Times New Roman" w:hAnsi="Tahoma" w:cs="Tahoma"/>
        </w:rPr>
        <w:t>”</w:t>
      </w:r>
      <w:r w:rsidR="00CC7B4D">
        <w:rPr>
          <w:rFonts w:ascii="Tahoma" w:eastAsia="Times New Roman" w:hAnsi="Tahoma" w:cs="Tahoma"/>
          <w:i/>
        </w:rPr>
        <w:t xml:space="preserve"> </w:t>
      </w:r>
      <w:r w:rsidR="00CC7B4D">
        <w:rPr>
          <w:rFonts w:ascii="Tahoma" w:eastAsia="Times New Roman" w:hAnsi="Tahoma" w:cs="Tahoma"/>
        </w:rPr>
        <w:t xml:space="preserve">ha introdotto alcuni obblighi tra i quali </w:t>
      </w:r>
      <w:r w:rsidR="00CC7B4D">
        <w:rPr>
          <w:rFonts w:ascii="Tahoma" w:eastAsia="Times New Roman" w:hAnsi="Tahoma" w:cs="Tahoma"/>
        </w:rPr>
        <w:lastRenderedPageBreak/>
        <w:t xml:space="preserve">quello di assicurare </w:t>
      </w:r>
      <w:r w:rsidR="00CC7B4D">
        <w:rPr>
          <w:rFonts w:ascii="Tahoma" w:eastAsia="Times New Roman" w:hAnsi="Tahoma" w:cs="Tahoma"/>
          <w:i/>
        </w:rPr>
        <w:t>“la massima trasparenza dei dati di bilancio</w:t>
      </w:r>
      <w:r w:rsidR="00CC7B4D">
        <w:rPr>
          <w:rFonts w:ascii="Tahoma" w:eastAsia="Times New Roman" w:hAnsi="Tahoma" w:cs="Tahoma"/>
        </w:rPr>
        <w:t xml:space="preserve"> </w:t>
      </w:r>
      <w:r w:rsidR="00CC7B4D">
        <w:rPr>
          <w:rFonts w:ascii="Tahoma" w:eastAsia="Times New Roman" w:hAnsi="Tahoma" w:cs="Tahoma"/>
          <w:i/>
        </w:rPr>
        <w:t>pubblicando integralmente nel proprio sito internet il bilancio d'esercizio entro sessanta giorni dalla data di relativa approvazione”.</w:t>
      </w:r>
    </w:p>
    <w:p w:rsidR="00CC7B4D" w:rsidRDefault="00CC7B4D">
      <w:pPr>
        <w:spacing w:after="0"/>
        <w:jc w:val="both"/>
        <w:rPr>
          <w:rFonts w:ascii="Tahoma" w:eastAsia="Times New Roman" w:hAnsi="Tahoma" w:cs="Tahoma"/>
        </w:rPr>
      </w:pPr>
    </w:p>
    <w:p w:rsidR="00CC7B4D" w:rsidRDefault="00CC7B4D">
      <w:pPr>
        <w:spacing w:after="0"/>
        <w:ind w:left="7"/>
        <w:jc w:val="both"/>
      </w:pPr>
      <w:r>
        <w:rPr>
          <w:rFonts w:ascii="Tahoma" w:eastAsia="Times New Roman" w:hAnsi="Tahoma" w:cs="Tahoma"/>
        </w:rPr>
        <w:t xml:space="preserve">Ai sensi dell’art. 19, comma 5, lett. b), del D.L. 90/2014, convertito con modificazioni nella legge 114/2014, nei casi di omessa adozione, da parte del soggetto obbligato, dei Piani Triennali di Prevenzione della Corruzione, dei Programmi Triennali di Trasparenza e dei Codici di Comportamento, l’ANAC applica, nel rispetto delle norme previste dalla legge 24 novembre 1981, n. 689, </w:t>
      </w:r>
      <w:r>
        <w:rPr>
          <w:rFonts w:ascii="Tahoma" w:eastAsia="Times New Roman" w:hAnsi="Tahoma" w:cs="Tahoma"/>
          <w:i/>
        </w:rPr>
        <w:t>una sanzione amministrativa non inferiore</w:t>
      </w:r>
      <w:r>
        <w:rPr>
          <w:rFonts w:ascii="Tahoma" w:eastAsia="Times New Roman" w:hAnsi="Tahoma" w:cs="Tahoma"/>
        </w:rPr>
        <w:t xml:space="preserve"> </w:t>
      </w:r>
      <w:r>
        <w:rPr>
          <w:rFonts w:ascii="Tahoma" w:eastAsia="Times New Roman" w:hAnsi="Tahoma" w:cs="Tahoma"/>
          <w:i/>
        </w:rPr>
        <w:t>nel minimo a euro 1.000 e non superiore nel massimo a euro 10.000.</w:t>
      </w:r>
    </w:p>
    <w:p w:rsidR="00CC7B4D" w:rsidRDefault="00CC7B4D">
      <w:pPr>
        <w:spacing w:after="0"/>
        <w:jc w:val="both"/>
        <w:rPr>
          <w:rFonts w:ascii="Tahoma" w:eastAsia="Times New Roman" w:hAnsi="Tahoma" w:cs="Tahoma"/>
          <w:i/>
        </w:rPr>
      </w:pPr>
    </w:p>
    <w:p w:rsidR="00CC7B4D" w:rsidRDefault="00CC7B4D">
      <w:pPr>
        <w:spacing w:after="0"/>
        <w:jc w:val="both"/>
      </w:pPr>
      <w:r>
        <w:rPr>
          <w:rFonts w:ascii="Tahoma" w:eastAsia="Times New Roman" w:hAnsi="Tahoma" w:cs="Tahoma"/>
          <w:i/>
          <w:iCs/>
          <w:u w:val="single"/>
        </w:rPr>
        <w:t>Il Responsabile della Prevenzione della Corruzione e della Trasparenza: nomina e ruolo</w:t>
      </w:r>
    </w:p>
    <w:p w:rsidR="00CC7B4D" w:rsidRDefault="00CC7B4D">
      <w:pPr>
        <w:spacing w:after="0"/>
        <w:ind w:left="7"/>
        <w:jc w:val="both"/>
      </w:pPr>
      <w:r>
        <w:rPr>
          <w:rFonts w:ascii="Tahoma" w:eastAsia="Times New Roman" w:hAnsi="Tahoma" w:cs="Tahoma"/>
        </w:rPr>
        <w:t>Il RPCT è nominato dall’Amministratore Unico con determina e il relativo nominativo è comunicato all’ANAC.</w:t>
      </w:r>
    </w:p>
    <w:p w:rsidR="00CC7B4D" w:rsidRDefault="00CC7B4D">
      <w:pPr>
        <w:spacing w:after="0"/>
        <w:jc w:val="both"/>
        <w:rPr>
          <w:rFonts w:ascii="Tahoma" w:eastAsia="Times New Roman" w:hAnsi="Tahoma" w:cs="Tahoma"/>
        </w:rPr>
      </w:pPr>
    </w:p>
    <w:p w:rsidR="00CC7B4D" w:rsidRDefault="00CC7B4D">
      <w:pPr>
        <w:spacing w:after="0"/>
        <w:ind w:left="7"/>
        <w:jc w:val="both"/>
      </w:pPr>
      <w:r>
        <w:rPr>
          <w:rFonts w:ascii="Tahoma" w:eastAsia="Times New Roman" w:hAnsi="Tahoma" w:cs="Tahoma"/>
        </w:rPr>
        <w:t>Ai sensi della Legge 190/2012, il RPCT assume, tra l’altro, i compiti di seguito indicati:</w:t>
      </w:r>
    </w:p>
    <w:p w:rsidR="00CC7B4D" w:rsidRDefault="00CC7B4D">
      <w:pPr>
        <w:numPr>
          <w:ilvl w:val="0"/>
          <w:numId w:val="6"/>
        </w:numPr>
        <w:tabs>
          <w:tab w:val="clear" w:pos="720"/>
          <w:tab w:val="left" w:pos="727"/>
        </w:tabs>
        <w:spacing w:after="0"/>
        <w:ind w:left="727" w:right="20" w:hanging="367"/>
        <w:jc w:val="both"/>
      </w:pPr>
      <w:r>
        <w:rPr>
          <w:rFonts w:ascii="Tahoma" w:eastAsia="Times New Roman" w:hAnsi="Tahoma" w:cs="Tahoma"/>
        </w:rPr>
        <w:t>elabora, predispone e/o aggiorna la proposta di PTPC che sottopone all’Amministratore Unico per l’approvazione entro il 31 gennaio di ogni anno (art. 1, comma 8, Legge 190/2012);</w:t>
      </w:r>
    </w:p>
    <w:p w:rsidR="00CC7B4D" w:rsidRDefault="00CC7B4D">
      <w:pPr>
        <w:numPr>
          <w:ilvl w:val="0"/>
          <w:numId w:val="6"/>
        </w:numPr>
        <w:tabs>
          <w:tab w:val="clear" w:pos="720"/>
          <w:tab w:val="left" w:pos="727"/>
        </w:tabs>
        <w:spacing w:after="0"/>
        <w:ind w:left="727" w:hanging="367"/>
        <w:jc w:val="both"/>
      </w:pPr>
      <w:r>
        <w:rPr>
          <w:rFonts w:ascii="Tahoma" w:eastAsia="Times New Roman" w:hAnsi="Tahoma" w:cs="Tahoma"/>
        </w:rPr>
        <w:t>provvede alla verifica dell'efficace attuazione del PTPC e della sua idoneità, nonché a proporre la modifica dello stesso, quando sono accertate significative violazioni delle prescrizioni ovvero quando intervengono mutamenti nell'organizzazione o nell'attività della Società (art. 1, comma 10, Legge 190/2012);</w:t>
      </w:r>
    </w:p>
    <w:p w:rsidR="00CC7B4D" w:rsidRDefault="00CC7B4D">
      <w:pPr>
        <w:numPr>
          <w:ilvl w:val="0"/>
          <w:numId w:val="6"/>
        </w:numPr>
        <w:tabs>
          <w:tab w:val="clear" w:pos="720"/>
          <w:tab w:val="left" w:pos="727"/>
        </w:tabs>
        <w:spacing w:after="0"/>
        <w:ind w:left="727" w:right="20" w:hanging="367"/>
        <w:jc w:val="both"/>
      </w:pPr>
      <w:r>
        <w:rPr>
          <w:rFonts w:ascii="Tahoma" w:eastAsia="Times New Roman" w:hAnsi="Tahoma" w:cs="Tahoma"/>
        </w:rPr>
        <w:t>svolge stabilmente un’attività di controllo sull'adempimento da parte della Società degli obblighi di pubblicazione previsti dalla normativa in materia di trasparenza, assicurando la completezza, la chiarezza e l'aggiornamento delle informazioni pubblicate (art. 43, comma 1, D.Lgs.33/2013);</w:t>
      </w:r>
    </w:p>
    <w:p w:rsidR="00CC7B4D" w:rsidRDefault="00CC7B4D">
      <w:pPr>
        <w:numPr>
          <w:ilvl w:val="0"/>
          <w:numId w:val="6"/>
        </w:numPr>
        <w:tabs>
          <w:tab w:val="clear" w:pos="720"/>
          <w:tab w:val="left" w:pos="727"/>
        </w:tabs>
        <w:spacing w:after="0"/>
        <w:ind w:firstLine="340"/>
        <w:jc w:val="both"/>
      </w:pPr>
      <w:r>
        <w:rPr>
          <w:rFonts w:ascii="Tahoma" w:eastAsia="Times New Roman" w:hAnsi="Tahoma" w:cs="Tahoma"/>
        </w:rPr>
        <w:t>se presente, collabora con il Responsabile del controllo interno;</w:t>
      </w:r>
    </w:p>
    <w:p w:rsidR="00CC7B4D" w:rsidRDefault="00CC7B4D">
      <w:pPr>
        <w:numPr>
          <w:ilvl w:val="0"/>
          <w:numId w:val="6"/>
        </w:numPr>
        <w:tabs>
          <w:tab w:val="clear" w:pos="720"/>
          <w:tab w:val="left" w:pos="727"/>
        </w:tabs>
        <w:spacing w:after="0"/>
        <w:ind w:left="727" w:hanging="367"/>
        <w:jc w:val="both"/>
      </w:pPr>
      <w:r>
        <w:rPr>
          <w:rFonts w:ascii="Tahoma" w:eastAsia="Times New Roman" w:hAnsi="Tahoma" w:cs="Tahoma"/>
        </w:rPr>
        <w:t>segnala all’Amministratore Unico, all'OIV e all’ANAC le disfunzioni inerenti all’attuazione delle misure in materia di prevenzione della corruzione e di trasparenza e indica all'UPD i nominativi dei dipendenti che non hanno attuato correttamente le misure in materia di prevenzione della corruzione e di trasparenza (art. 1, comma 7, Legge 190/2012; art. 43, comma 1,D.Lgs. 33/2013);</w:t>
      </w:r>
    </w:p>
    <w:p w:rsidR="00CC7B4D" w:rsidRDefault="00CC7B4D">
      <w:pPr>
        <w:numPr>
          <w:ilvl w:val="0"/>
          <w:numId w:val="6"/>
        </w:numPr>
        <w:tabs>
          <w:tab w:val="clear" w:pos="720"/>
          <w:tab w:val="left" w:pos="727"/>
        </w:tabs>
        <w:spacing w:after="0"/>
        <w:ind w:left="737" w:hanging="397"/>
        <w:jc w:val="both"/>
      </w:pPr>
      <w:r>
        <w:rPr>
          <w:rFonts w:ascii="Tahoma" w:eastAsia="Times New Roman" w:hAnsi="Tahoma" w:cs="Tahoma"/>
        </w:rPr>
        <w:t>entro il 31 gennaio di ogni anno definisce procedure appropriate per selezionare e formare, ai sensi dell’art. 1, comma 10 della Legge190/2012, i dipendenti destinati a operare in settori particolarmente esposti alla corruzione (art. 1 comma 8, Legge 190/2012);</w:t>
      </w:r>
    </w:p>
    <w:p w:rsidR="00CC7B4D" w:rsidRDefault="00CC7B4D">
      <w:pPr>
        <w:numPr>
          <w:ilvl w:val="0"/>
          <w:numId w:val="6"/>
        </w:numPr>
        <w:tabs>
          <w:tab w:val="clear" w:pos="720"/>
          <w:tab w:val="left" w:pos="727"/>
        </w:tabs>
        <w:spacing w:after="0"/>
        <w:ind w:firstLine="340"/>
        <w:jc w:val="both"/>
      </w:pPr>
      <w:r>
        <w:rPr>
          <w:rFonts w:ascii="Tahoma" w:eastAsia="Times New Roman" w:hAnsi="Tahoma" w:cs="Tahoma"/>
        </w:rPr>
        <w:t xml:space="preserve">provvede a individuare il personale da inserire nei programmi di formazione di cui all’art. 1, </w:t>
      </w:r>
      <w:r>
        <w:rPr>
          <w:rFonts w:ascii="Tahoma" w:eastAsia="Times New Roman" w:hAnsi="Tahoma" w:cs="Tahoma"/>
        </w:rPr>
        <w:tab/>
        <w:t>comma 11, della Legge 190/2012 (art. 1 comma 10, Legge 190/2012);</w:t>
      </w:r>
    </w:p>
    <w:p w:rsidR="00CC7B4D" w:rsidRDefault="00CC7B4D">
      <w:pPr>
        <w:numPr>
          <w:ilvl w:val="0"/>
          <w:numId w:val="6"/>
        </w:numPr>
        <w:tabs>
          <w:tab w:val="clear" w:pos="720"/>
          <w:tab w:val="left" w:pos="727"/>
        </w:tabs>
        <w:spacing w:after="0"/>
        <w:ind w:firstLine="340"/>
        <w:jc w:val="both"/>
      </w:pPr>
      <w:r>
        <w:rPr>
          <w:rFonts w:ascii="Tahoma" w:eastAsia="Times New Roman" w:hAnsi="Tahoma" w:cs="Tahoma"/>
        </w:rPr>
        <w:t xml:space="preserve">verifica, d'intesa con il dirigente competente, l'effettiva rotazione degli incarichi negli uffici </w:t>
      </w:r>
      <w:r>
        <w:rPr>
          <w:rFonts w:ascii="Tahoma" w:eastAsia="Times New Roman" w:hAnsi="Tahoma" w:cs="Tahoma"/>
        </w:rPr>
        <w:tab/>
        <w:t xml:space="preserve">preposti allo svolgimento delle attività nel cui ambito è più elevato il rischio che siano </w:t>
      </w:r>
      <w:r>
        <w:rPr>
          <w:rFonts w:ascii="Tahoma" w:eastAsia="Times New Roman" w:hAnsi="Tahoma" w:cs="Tahoma"/>
        </w:rPr>
        <w:tab/>
        <w:t>commessi reati di corruzione (art. 1, comma 10, Legge 190/2012);</w:t>
      </w:r>
    </w:p>
    <w:p w:rsidR="00CC7B4D" w:rsidRDefault="00CC7B4D">
      <w:pPr>
        <w:numPr>
          <w:ilvl w:val="0"/>
          <w:numId w:val="6"/>
        </w:numPr>
        <w:tabs>
          <w:tab w:val="clear" w:pos="720"/>
          <w:tab w:val="left" w:pos="727"/>
        </w:tabs>
        <w:spacing w:after="0"/>
        <w:ind w:firstLine="340"/>
        <w:jc w:val="both"/>
      </w:pPr>
      <w:r>
        <w:rPr>
          <w:rFonts w:ascii="Tahoma" w:eastAsia="Times New Roman" w:hAnsi="Tahoma" w:cs="Tahoma"/>
        </w:rPr>
        <w:t xml:space="preserve">entro il 15 dicembre di ogni anno, trasmette all'OIV e all’Amministratore Unico una </w:t>
      </w:r>
      <w:r>
        <w:rPr>
          <w:rFonts w:ascii="Tahoma" w:eastAsia="Times New Roman" w:hAnsi="Tahoma" w:cs="Tahoma"/>
        </w:rPr>
        <w:tab/>
        <w:t xml:space="preserve">relazione recante i risultati dell'attività svolta e la pubblica nel sito aziendale. Nei casi in cui </w:t>
      </w:r>
      <w:r>
        <w:rPr>
          <w:rFonts w:ascii="Tahoma" w:eastAsia="Times New Roman" w:hAnsi="Tahoma" w:cs="Tahoma"/>
        </w:rPr>
        <w:tab/>
        <w:t xml:space="preserve">l’Amministratore Unico lo richieda o qualora il RPCT lo ritenga opportuno, quest'ultimo </w:t>
      </w:r>
      <w:r>
        <w:rPr>
          <w:rFonts w:ascii="Tahoma" w:eastAsia="Times New Roman" w:hAnsi="Tahoma" w:cs="Tahoma"/>
        </w:rPr>
        <w:tab/>
        <w:t>riferisce sull'attività (art. 1, comma 14, Legge 190/2012);</w:t>
      </w:r>
    </w:p>
    <w:p w:rsidR="00CC7B4D" w:rsidRDefault="00CC7B4D">
      <w:pPr>
        <w:numPr>
          <w:ilvl w:val="0"/>
          <w:numId w:val="6"/>
        </w:numPr>
        <w:tabs>
          <w:tab w:val="clear" w:pos="720"/>
          <w:tab w:val="left" w:pos="727"/>
        </w:tabs>
        <w:spacing w:after="0"/>
        <w:ind w:firstLine="340"/>
        <w:jc w:val="both"/>
      </w:pPr>
      <w:r>
        <w:rPr>
          <w:rFonts w:ascii="Tahoma" w:eastAsia="Times New Roman" w:hAnsi="Tahoma" w:cs="Tahoma"/>
        </w:rPr>
        <w:lastRenderedPageBreak/>
        <w:t xml:space="preserve">cura, anche attraverso le disposizioni contenute nel presente Piano, che nell'Azienda siano </w:t>
      </w:r>
      <w:r>
        <w:rPr>
          <w:rFonts w:ascii="Tahoma" w:eastAsia="Times New Roman" w:hAnsi="Tahoma" w:cs="Tahoma"/>
        </w:rPr>
        <w:tab/>
        <w:t xml:space="preserve">rispettate le disposizioni del D.Lgs. 39/2013 sulla inconferibilità e incompatibilità degli </w:t>
      </w:r>
      <w:r>
        <w:rPr>
          <w:rFonts w:ascii="Tahoma" w:eastAsia="Times New Roman" w:hAnsi="Tahoma" w:cs="Tahoma"/>
        </w:rPr>
        <w:tab/>
        <w:t>incarichi (art. 15</w:t>
      </w:r>
      <w:r w:rsidR="00C447A2">
        <w:rPr>
          <w:rFonts w:ascii="Tahoma" w:eastAsia="Times New Roman" w:hAnsi="Tahoma" w:cs="Tahoma"/>
        </w:rPr>
        <w:t>,</w:t>
      </w:r>
      <w:r>
        <w:rPr>
          <w:rFonts w:ascii="Tahoma" w:eastAsia="Times New Roman" w:hAnsi="Tahoma" w:cs="Tahoma"/>
        </w:rPr>
        <w:t xml:space="preserve"> comma 1, D.Lgs. 39/2013);</w:t>
      </w:r>
    </w:p>
    <w:p w:rsidR="00CC7B4D" w:rsidRDefault="00CC7B4D">
      <w:pPr>
        <w:numPr>
          <w:ilvl w:val="0"/>
          <w:numId w:val="6"/>
        </w:numPr>
        <w:tabs>
          <w:tab w:val="clear" w:pos="720"/>
          <w:tab w:val="left" w:pos="727"/>
        </w:tabs>
        <w:spacing w:after="0"/>
        <w:ind w:firstLine="340"/>
        <w:jc w:val="both"/>
      </w:pPr>
      <w:r>
        <w:rPr>
          <w:rFonts w:ascii="Tahoma" w:eastAsia="Times New Roman" w:hAnsi="Tahoma" w:cs="Tahoma"/>
        </w:rPr>
        <w:t xml:space="preserve">cura la diffusione della conoscenza del Codice di comportamento nell'Azienda e il </w:t>
      </w:r>
      <w:r>
        <w:rPr>
          <w:rFonts w:ascii="Tahoma" w:eastAsia="Times New Roman" w:hAnsi="Tahoma" w:cs="Tahoma"/>
        </w:rPr>
        <w:tab/>
        <w:t>monitoraggio annuale sulla sua attuazione (art. 15, comma 3, D.P.R. 62/2013);</w:t>
      </w:r>
    </w:p>
    <w:p w:rsidR="00CC7B4D" w:rsidRDefault="00CC7B4D">
      <w:pPr>
        <w:numPr>
          <w:ilvl w:val="0"/>
          <w:numId w:val="6"/>
        </w:numPr>
        <w:tabs>
          <w:tab w:val="clear" w:pos="720"/>
          <w:tab w:val="left" w:pos="727"/>
        </w:tabs>
        <w:spacing w:after="0"/>
        <w:ind w:firstLine="340"/>
        <w:jc w:val="both"/>
      </w:pPr>
      <w:r>
        <w:rPr>
          <w:rFonts w:ascii="Tahoma" w:eastAsia="Times New Roman" w:hAnsi="Tahoma" w:cs="Tahoma"/>
        </w:rPr>
        <w:t xml:space="preserve">valuta le richieste di riesame delle istanze di accesso civico (art. 5 commi 7,9, D.Lgs. </w:t>
      </w:r>
      <w:r>
        <w:rPr>
          <w:rFonts w:ascii="Tahoma" w:eastAsia="Times New Roman" w:hAnsi="Tahoma" w:cs="Tahoma"/>
        </w:rPr>
        <w:tab/>
        <w:t>33/2013 come modificato dal D.Lgs. 97/2016).</w:t>
      </w:r>
    </w:p>
    <w:p w:rsidR="00CC7B4D" w:rsidRDefault="00CC7B4D">
      <w:pPr>
        <w:numPr>
          <w:ilvl w:val="0"/>
          <w:numId w:val="6"/>
        </w:numPr>
        <w:spacing w:after="0"/>
        <w:ind w:firstLine="340"/>
        <w:jc w:val="both"/>
      </w:pPr>
      <w:r>
        <w:rPr>
          <w:rFonts w:ascii="Tahoma" w:eastAsia="Times New Roman" w:hAnsi="Tahoma" w:cs="Tahoma"/>
        </w:rPr>
        <w:t>Il D.lgs. n.</w:t>
      </w:r>
      <w:r w:rsidR="00C447A2">
        <w:rPr>
          <w:rFonts w:ascii="Tahoma" w:eastAsia="Times New Roman" w:hAnsi="Tahoma" w:cs="Tahoma"/>
        </w:rPr>
        <w:t xml:space="preserve"> </w:t>
      </w:r>
      <w:r>
        <w:rPr>
          <w:rFonts w:ascii="Tahoma" w:eastAsia="Times New Roman" w:hAnsi="Tahoma" w:cs="Tahoma"/>
        </w:rPr>
        <w:t xml:space="preserve">39 del 2013 ha attribuito nuovi compiti al Responsabile della prevenzione relativi </w:t>
      </w:r>
      <w:r>
        <w:rPr>
          <w:rFonts w:ascii="Tahoma" w:eastAsia="Times New Roman" w:hAnsi="Tahoma" w:cs="Tahoma"/>
        </w:rPr>
        <w:tab/>
        <w:t>alla vigilanza in materia di inconferibilità ed incompatibilità.</w:t>
      </w:r>
    </w:p>
    <w:p w:rsidR="00CC7B4D" w:rsidRDefault="00CC7B4D">
      <w:pPr>
        <w:numPr>
          <w:ilvl w:val="0"/>
          <w:numId w:val="6"/>
        </w:numPr>
        <w:spacing w:after="0"/>
        <w:ind w:firstLine="340"/>
        <w:jc w:val="both"/>
      </w:pPr>
      <w:r>
        <w:rPr>
          <w:rFonts w:ascii="Tahoma" w:eastAsia="Times New Roman" w:hAnsi="Tahoma" w:cs="Tahoma"/>
        </w:rPr>
        <w:t>L’art.</w:t>
      </w:r>
      <w:r w:rsidR="00C447A2">
        <w:rPr>
          <w:rFonts w:ascii="Tahoma" w:eastAsia="Times New Roman" w:hAnsi="Tahoma" w:cs="Tahoma"/>
        </w:rPr>
        <w:t xml:space="preserve"> </w:t>
      </w:r>
      <w:r>
        <w:rPr>
          <w:rFonts w:ascii="Tahoma" w:eastAsia="Times New Roman" w:hAnsi="Tahoma" w:cs="Tahoma"/>
        </w:rPr>
        <w:t xml:space="preserve">15 del D.P.R. n. 62 del 2013 ha inoltre disposto che è cura del Responsabile la </w:t>
      </w:r>
      <w:r>
        <w:rPr>
          <w:rFonts w:ascii="Tahoma" w:eastAsia="Times New Roman" w:hAnsi="Tahoma" w:cs="Tahoma"/>
        </w:rPr>
        <w:tab/>
        <w:t xml:space="preserve">diffusione del codice di comportamento, il monitoraggio annuale della sua attuazione, la </w:t>
      </w:r>
      <w:r>
        <w:rPr>
          <w:rFonts w:ascii="Tahoma" w:eastAsia="Times New Roman" w:hAnsi="Tahoma" w:cs="Tahoma"/>
        </w:rPr>
        <w:tab/>
        <w:t xml:space="preserve">pubblicazione nel sito istituzionale e la comunicazione all’Autorità Nazionale Anticorruzione </w:t>
      </w:r>
      <w:r>
        <w:rPr>
          <w:rFonts w:ascii="Tahoma" w:eastAsia="Times New Roman" w:hAnsi="Tahoma" w:cs="Tahoma"/>
        </w:rPr>
        <w:tab/>
        <w:t>dei risultati del monitoraggio.</w:t>
      </w:r>
    </w:p>
    <w:p w:rsidR="00CC7B4D" w:rsidRDefault="00CC7B4D">
      <w:pPr>
        <w:spacing w:after="0"/>
        <w:jc w:val="both"/>
        <w:rPr>
          <w:rFonts w:ascii="Tahoma" w:eastAsia="Times New Roman" w:hAnsi="Tahoma" w:cs="Tahoma"/>
        </w:rPr>
      </w:pPr>
    </w:p>
    <w:p w:rsidR="00CC7B4D" w:rsidRDefault="00CC7B4D">
      <w:pPr>
        <w:spacing w:after="0"/>
        <w:jc w:val="both"/>
      </w:pPr>
      <w:r>
        <w:rPr>
          <w:rFonts w:ascii="Tahoma" w:eastAsia="Times New Roman" w:hAnsi="Tahoma" w:cs="Tahoma"/>
        </w:rPr>
        <w:t>Secondo il nuovo PNA 2016, vengono aggiornate e potenziate una serie di funzioni proprie del R.P.C.T.:</w:t>
      </w:r>
    </w:p>
    <w:p w:rsidR="00CC7B4D" w:rsidRDefault="00CC7B4D">
      <w:pPr>
        <w:numPr>
          <w:ilvl w:val="0"/>
          <w:numId w:val="18"/>
        </w:numPr>
        <w:tabs>
          <w:tab w:val="left" w:pos="367"/>
        </w:tabs>
        <w:spacing w:after="0"/>
        <w:ind w:left="737" w:hanging="397"/>
        <w:jc w:val="both"/>
      </w:pPr>
      <w:r>
        <w:rPr>
          <w:rFonts w:ascii="Tahoma" w:eastAsia="Times New Roman" w:hAnsi="Tahoma" w:cs="Tahoma"/>
        </w:rPr>
        <w:t>assume anche l’incarico di Responsabile della trasparenza;</w:t>
      </w:r>
    </w:p>
    <w:p w:rsidR="00CC7B4D" w:rsidRDefault="00CC7B4D">
      <w:pPr>
        <w:numPr>
          <w:ilvl w:val="0"/>
          <w:numId w:val="18"/>
        </w:numPr>
        <w:tabs>
          <w:tab w:val="left" w:pos="367"/>
        </w:tabs>
        <w:spacing w:after="0"/>
        <w:ind w:left="737" w:hanging="397"/>
        <w:jc w:val="both"/>
      </w:pPr>
      <w:r>
        <w:rPr>
          <w:rFonts w:ascii="Tahoma" w:eastAsia="Times New Roman" w:hAnsi="Tahoma" w:cs="Tahoma"/>
        </w:rPr>
        <w:t>la durata del suo incarico è fissata tenendo conto della non esclusività della funzione ed è correlata alla durata del contratto sottostante all’incarico dirigenziale già svolto;</w:t>
      </w:r>
    </w:p>
    <w:p w:rsidR="00CC7B4D" w:rsidRDefault="00CC7B4D">
      <w:pPr>
        <w:numPr>
          <w:ilvl w:val="0"/>
          <w:numId w:val="18"/>
        </w:numPr>
        <w:tabs>
          <w:tab w:val="left" w:pos="367"/>
        </w:tabs>
        <w:spacing w:after="0"/>
        <w:ind w:left="737" w:hanging="397"/>
        <w:jc w:val="both"/>
      </w:pPr>
      <w:r>
        <w:rPr>
          <w:rFonts w:ascii="Tahoma" w:eastAsia="Times New Roman" w:hAnsi="Tahoma" w:cs="Tahoma"/>
        </w:rPr>
        <w:t>nelle ipotesi di riorganizzazione o modifica del precedente incarico, quello di R.P.C.T. è opportuno che prosegua fino al termine della naturale scadenza del contratto legato al precedente incarico (o di quella che sarebbe dovuta essere la naturale scadenza) e in coerenza di quanto previsto nel PTPC;</w:t>
      </w:r>
    </w:p>
    <w:p w:rsidR="00CC7B4D" w:rsidRDefault="00CC7B4D">
      <w:pPr>
        <w:numPr>
          <w:ilvl w:val="0"/>
          <w:numId w:val="18"/>
        </w:numPr>
        <w:tabs>
          <w:tab w:val="left" w:pos="367"/>
        </w:tabs>
        <w:spacing w:after="0"/>
        <w:ind w:left="737" w:hanging="397"/>
        <w:jc w:val="both"/>
      </w:pPr>
      <w:r>
        <w:rPr>
          <w:rFonts w:ascii="Tahoma" w:eastAsia="Times New Roman" w:hAnsi="Tahoma" w:cs="Tahoma"/>
        </w:rPr>
        <w:t>vi è un’estensione generalizzata di doveri di segnalazione all’ANAC di misure discriminatorie - quindi non più solo in caso di revoca - nei confronti del R.P.C.T. comunque collegate allo svolgimento delle sue funzioni. In tal caso l’ANAC può richiedere informazioni all’organo di indirizzo e intervenire con i poteri di cui all’art.15, c. 3 D.Lgs. n. 39/13;</w:t>
      </w:r>
    </w:p>
    <w:p w:rsidR="00CC7B4D" w:rsidRDefault="00CC7B4D">
      <w:pPr>
        <w:numPr>
          <w:ilvl w:val="0"/>
          <w:numId w:val="18"/>
        </w:numPr>
        <w:tabs>
          <w:tab w:val="left" w:pos="367"/>
        </w:tabs>
        <w:spacing w:after="0"/>
        <w:ind w:left="737" w:hanging="397"/>
        <w:jc w:val="both"/>
      </w:pPr>
      <w:r>
        <w:rPr>
          <w:rFonts w:ascii="Tahoma" w:eastAsia="Times New Roman" w:hAnsi="Tahoma" w:cs="Tahoma"/>
        </w:rPr>
        <w:t>permane l’esclusione della responsabilità del R.P.C.T. nei casi di ripetute violazioni, qualora lo stesso possa provare «</w:t>
      </w:r>
      <w:r>
        <w:rPr>
          <w:rFonts w:ascii="Tahoma" w:eastAsia="Times New Roman" w:hAnsi="Tahoma" w:cs="Tahoma"/>
          <w:i/>
        </w:rPr>
        <w:t>di avere comunicato agli uffici le misure da adottare e le relative modalità e di avere</w:t>
      </w:r>
      <w:r>
        <w:rPr>
          <w:rFonts w:ascii="Tahoma" w:eastAsia="Times New Roman" w:hAnsi="Tahoma" w:cs="Tahoma"/>
        </w:rPr>
        <w:t xml:space="preserve"> </w:t>
      </w:r>
      <w:r>
        <w:rPr>
          <w:rFonts w:ascii="Tahoma" w:eastAsia="Times New Roman" w:hAnsi="Tahoma" w:cs="Tahoma"/>
          <w:i/>
        </w:rPr>
        <w:t>vigilato sull'osservanza del Piano</w:t>
      </w:r>
      <w:r>
        <w:rPr>
          <w:rFonts w:ascii="Tahoma" w:eastAsia="Times New Roman" w:hAnsi="Tahoma" w:cs="Tahoma"/>
        </w:rPr>
        <w:t>»;</w:t>
      </w:r>
    </w:p>
    <w:p w:rsidR="00CC7B4D" w:rsidRDefault="00CC7B4D">
      <w:pPr>
        <w:numPr>
          <w:ilvl w:val="0"/>
          <w:numId w:val="18"/>
        </w:numPr>
        <w:tabs>
          <w:tab w:val="clear" w:pos="720"/>
          <w:tab w:val="left" w:pos="727"/>
        </w:tabs>
        <w:spacing w:after="0"/>
        <w:ind w:left="737" w:hanging="397"/>
        <w:jc w:val="both"/>
      </w:pPr>
      <w:r>
        <w:rPr>
          <w:rFonts w:ascii="Tahoma" w:eastAsia="Times New Roman" w:hAnsi="Tahoma" w:cs="Tahoma"/>
        </w:rPr>
        <w:t>al R.P.C.T. deve essere fornito l’adeguato s</w:t>
      </w:r>
      <w:r>
        <w:rPr>
          <w:rFonts w:ascii="Tahoma" w:eastAsia="Times New Roman" w:hAnsi="Tahoma" w:cs="Tahoma"/>
          <w:i/>
        </w:rPr>
        <w:t>upporto conoscitivo e operativo,</w:t>
      </w:r>
      <w:r>
        <w:rPr>
          <w:rFonts w:ascii="Tahoma" w:eastAsia="Times New Roman" w:hAnsi="Tahoma" w:cs="Tahoma"/>
        </w:rPr>
        <w:t xml:space="preserve"> dotandolo di struttura organizzativa adeguata, per qualità del personale e per mezzi tecnici, al compito;</w:t>
      </w:r>
    </w:p>
    <w:p w:rsidR="00CC7B4D" w:rsidRDefault="00CC7B4D">
      <w:pPr>
        <w:numPr>
          <w:ilvl w:val="0"/>
          <w:numId w:val="18"/>
        </w:numPr>
        <w:tabs>
          <w:tab w:val="clear" w:pos="720"/>
          <w:tab w:val="left" w:pos="727"/>
        </w:tabs>
        <w:spacing w:after="0"/>
        <w:ind w:left="737" w:hanging="397"/>
        <w:jc w:val="both"/>
      </w:pPr>
      <w:r>
        <w:rPr>
          <w:rFonts w:ascii="Tahoma" w:eastAsia="Times New Roman" w:hAnsi="Tahoma" w:cs="Tahoma"/>
        </w:rPr>
        <w:t>devono essere assicurati al R.P.C.T. poteri effettivi, preferibilmente con una specifica formalizzazione nell’atto di nomina, di interlocuzione nei confronti di tutta la struttura, sia nella fase della predisposizione del Piano e delle misure sia in quella del controllo sulle stesse;</w:t>
      </w:r>
    </w:p>
    <w:p w:rsidR="00CC7B4D" w:rsidRDefault="00CC7B4D">
      <w:pPr>
        <w:numPr>
          <w:ilvl w:val="0"/>
          <w:numId w:val="18"/>
        </w:numPr>
        <w:tabs>
          <w:tab w:val="clear" w:pos="720"/>
          <w:tab w:val="left" w:pos="727"/>
        </w:tabs>
        <w:spacing w:after="0"/>
        <w:ind w:left="0" w:firstLine="340"/>
        <w:jc w:val="both"/>
      </w:pPr>
      <w:r>
        <w:rPr>
          <w:rFonts w:ascii="Tahoma" w:eastAsia="Times New Roman" w:hAnsi="Tahoma" w:cs="Tahoma"/>
        </w:rPr>
        <w:t xml:space="preserve">è necessaria la costituzione di un apposito ufficio dedicato allo svolgimento delle funzioni </w:t>
      </w:r>
      <w:r>
        <w:rPr>
          <w:rFonts w:ascii="Tahoma" w:eastAsia="Times New Roman" w:hAnsi="Tahoma" w:cs="Tahoma"/>
        </w:rPr>
        <w:tab/>
        <w:t xml:space="preserve">poste in capo al R.P.C.T, tra cui le rilevanti competenze in materia di accesso civico </w:t>
      </w:r>
      <w:r>
        <w:rPr>
          <w:rFonts w:ascii="Tahoma" w:eastAsia="Times New Roman" w:hAnsi="Tahoma" w:cs="Tahoma"/>
        </w:rPr>
        <w:tab/>
        <w:t xml:space="preserve">attribuite al R.P.C.T. dal D.Lgs. 97/2016. Ove ciò non sia possibile, è opportuno rafforzare </w:t>
      </w:r>
      <w:r>
        <w:rPr>
          <w:rFonts w:ascii="Tahoma" w:eastAsia="Times New Roman" w:hAnsi="Tahoma" w:cs="Tahoma"/>
        </w:rPr>
        <w:tab/>
        <w:t xml:space="preserve">la struttura di supporto mediante appositi atti organizzativi che consentano al R.P.C.T. di </w:t>
      </w:r>
      <w:r>
        <w:rPr>
          <w:rFonts w:ascii="Tahoma" w:eastAsia="Times New Roman" w:hAnsi="Tahoma" w:cs="Tahoma"/>
        </w:rPr>
        <w:tab/>
        <w:t xml:space="preserve">avvalersi di personale di altri uffici. Tale struttura può essere a disposizione di chi si occupa </w:t>
      </w:r>
      <w:r>
        <w:rPr>
          <w:rFonts w:ascii="Tahoma" w:eastAsia="Times New Roman" w:hAnsi="Tahoma" w:cs="Tahoma"/>
        </w:rPr>
        <w:tab/>
        <w:t xml:space="preserve">di misure di miglioramento funzionalità dell’amministrazione (es. controlli interni, strutture </w:t>
      </w:r>
      <w:r>
        <w:rPr>
          <w:rFonts w:ascii="Tahoma" w:eastAsia="Times New Roman" w:hAnsi="Tahoma" w:cs="Tahoma"/>
        </w:rPr>
        <w:tab/>
        <w:t xml:space="preserve">di audit, strutture che curano piano </w:t>
      </w:r>
      <w:r>
        <w:rPr>
          <w:rFonts w:ascii="Tahoma" w:eastAsia="Times New Roman" w:hAnsi="Tahoma" w:cs="Tahoma"/>
          <w:i/>
        </w:rPr>
        <w:t>performance</w:t>
      </w:r>
      <w:r>
        <w:rPr>
          <w:rFonts w:ascii="Tahoma" w:eastAsia="Times New Roman" w:hAnsi="Tahoma" w:cs="Tahoma"/>
        </w:rPr>
        <w:t>);</w:t>
      </w:r>
    </w:p>
    <w:p w:rsidR="00CC7B4D" w:rsidRDefault="00CC7B4D">
      <w:pPr>
        <w:numPr>
          <w:ilvl w:val="0"/>
          <w:numId w:val="18"/>
        </w:numPr>
        <w:tabs>
          <w:tab w:val="clear" w:pos="720"/>
          <w:tab w:val="left" w:pos="727"/>
        </w:tabs>
        <w:spacing w:after="0"/>
        <w:ind w:left="737" w:hanging="397"/>
        <w:jc w:val="both"/>
      </w:pPr>
      <w:r>
        <w:rPr>
          <w:rFonts w:ascii="Tahoma" w:eastAsia="Times New Roman" w:hAnsi="Tahoma" w:cs="Tahoma"/>
        </w:rPr>
        <w:t>il R.P.C.T. è tenuto a sollecitare l’individuazione del soggetto preposto all’iscrizione e aggiornamento dell’Anagrafe Unica Responsabile Stazioni Appaltanti (RASA) e ad indicarne il nome nel P.T.P.C.</w:t>
      </w:r>
    </w:p>
    <w:p w:rsidR="00CC7B4D" w:rsidRDefault="00CC7B4D">
      <w:pPr>
        <w:numPr>
          <w:ilvl w:val="0"/>
          <w:numId w:val="18"/>
        </w:numPr>
        <w:tabs>
          <w:tab w:val="clear" w:pos="720"/>
          <w:tab w:val="left" w:pos="727"/>
        </w:tabs>
        <w:spacing w:after="0"/>
        <w:ind w:left="737" w:hanging="397"/>
        <w:jc w:val="both"/>
      </w:pPr>
      <w:r>
        <w:rPr>
          <w:rFonts w:ascii="Tahoma" w:eastAsia="Times New Roman" w:hAnsi="Tahoma" w:cs="Tahoma"/>
        </w:rPr>
        <w:lastRenderedPageBreak/>
        <w:t>Il RPCT risponde in caso di mancata predisposizione del Piano e adozione delle misure di prevenzione, nonché del programma di formazione dei dipendenti, sui temi della prevenzione della corruzione e trasparenza.</w:t>
      </w:r>
    </w:p>
    <w:p w:rsidR="00CC7B4D" w:rsidRDefault="00CC7B4D">
      <w:pPr>
        <w:numPr>
          <w:ilvl w:val="0"/>
          <w:numId w:val="18"/>
        </w:numPr>
        <w:spacing w:after="0"/>
        <w:ind w:left="737" w:hanging="397"/>
        <w:jc w:val="both"/>
      </w:pPr>
      <w:r>
        <w:rPr>
          <w:rFonts w:ascii="Tahoma" w:eastAsia="Times New Roman" w:hAnsi="Tahoma" w:cs="Tahoma"/>
        </w:rPr>
        <w:t>Il RPCT non risponde della mancata attuazione delle misure di prevenzione della corruzione ove dimostri di avere effettuato le dovute comunicazioni agli uffici e di avere vigilato sull'osservanza del Piano. Nell'esercizio della sua attività di controllo sull'adempimento degli obblighi di pubblicazione segnala all'OIV e, nei casi più gravi, all'UPD il mancato o ritardato adempimento da parte dei dirigenti responsabili della trasmissione e pubblicazione dei dati.</w:t>
      </w:r>
    </w:p>
    <w:p w:rsidR="00CC7B4D" w:rsidRDefault="00CC7B4D">
      <w:pPr>
        <w:numPr>
          <w:ilvl w:val="0"/>
          <w:numId w:val="18"/>
        </w:numPr>
        <w:tabs>
          <w:tab w:val="clear" w:pos="720"/>
          <w:tab w:val="left" w:pos="727"/>
        </w:tabs>
        <w:spacing w:after="0"/>
        <w:ind w:left="737" w:hanging="397"/>
        <w:jc w:val="both"/>
      </w:pPr>
      <w:r>
        <w:rPr>
          <w:rFonts w:ascii="Tahoma" w:eastAsia="Times New Roman" w:hAnsi="Tahoma" w:cs="Tahoma"/>
        </w:rPr>
        <w:t>Nel caso in cui, all'interno dell'Azienda vi sia una condanna per un reato di corruzione, accertato con sentenza passata in giudicato, è prevista per il RPCT una responsabilità dirigenziale, disciplinare e amministrativa, oltre che per danno erariale e all'immagine, salvo che il medesimo non provi di avere predisposto, prima della commissione del fatto, il Piano e di aver vigilato sul suo funzionamento e osservanza. È esclusa la responsabilità ove l'inadempimento degli obblighi sia "dipeso da causa a lui non imputabile".</w:t>
      </w:r>
    </w:p>
    <w:p w:rsidR="00CC7B4D" w:rsidRDefault="00CC7B4D">
      <w:pPr>
        <w:tabs>
          <w:tab w:val="left" w:pos="727"/>
        </w:tabs>
        <w:spacing w:after="0"/>
        <w:jc w:val="both"/>
        <w:rPr>
          <w:rFonts w:ascii="Tahoma" w:eastAsia="Times New Roman" w:hAnsi="Tahoma" w:cs="Tahoma"/>
        </w:rPr>
      </w:pPr>
    </w:p>
    <w:p w:rsidR="00CC7B4D" w:rsidRDefault="00CC7B4D">
      <w:pPr>
        <w:spacing w:after="0"/>
        <w:jc w:val="both"/>
      </w:pPr>
      <w:r>
        <w:rPr>
          <w:rFonts w:ascii="Tahoma" w:hAnsi="Tahoma" w:cs="Tahoma"/>
          <w:i/>
          <w:iCs/>
          <w:u w:val="single"/>
        </w:rPr>
        <w:t>Il Direttore Amministrativo</w:t>
      </w:r>
    </w:p>
    <w:p w:rsidR="00CC7B4D" w:rsidRDefault="00CC7B4D">
      <w:pPr>
        <w:spacing w:after="0"/>
        <w:jc w:val="both"/>
      </w:pPr>
      <w:r>
        <w:rPr>
          <w:rFonts w:ascii="Tahoma" w:hAnsi="Tahoma" w:cs="Tahoma"/>
        </w:rPr>
        <w:t>Sono loro affidati poteri propositivi e di controllo e sono attribuiti obblighi di collaborazione, di monitoraggio e di azione diretta in materia di prevenzione della corruzione. La responsabilità è di tipo dirigenziale, secondo le norme vigenti.</w:t>
      </w:r>
    </w:p>
    <w:p w:rsidR="00CC7B4D" w:rsidRDefault="00CC7B4D">
      <w:pPr>
        <w:spacing w:after="0"/>
        <w:jc w:val="both"/>
        <w:rPr>
          <w:rFonts w:ascii="Tahoma" w:hAnsi="Tahoma" w:cs="Tahoma"/>
        </w:rPr>
      </w:pPr>
    </w:p>
    <w:p w:rsidR="00CC7B4D" w:rsidRDefault="00CC7B4D">
      <w:pPr>
        <w:spacing w:after="0"/>
        <w:jc w:val="both"/>
      </w:pPr>
      <w:r>
        <w:rPr>
          <w:rFonts w:ascii="Tahoma" w:hAnsi="Tahoma" w:cs="Tahoma"/>
          <w:i/>
          <w:iCs/>
          <w:u w:val="single"/>
        </w:rPr>
        <w:t>I dipendenti nel loro complesso</w:t>
      </w:r>
    </w:p>
    <w:p w:rsidR="00CC7B4D" w:rsidRDefault="00CC7B4D">
      <w:pPr>
        <w:spacing w:after="0"/>
        <w:jc w:val="both"/>
      </w:pPr>
      <w:r>
        <w:rPr>
          <w:rFonts w:ascii="Tahoma" w:hAnsi="Tahoma" w:cs="Tahoma"/>
        </w:rPr>
        <w:t>Tali figure nello svolgimento delle loro mansioni devono rispettare il principio di legalità dell’attività dei dipendenti pubblici che trova fondamento in alcuni principi costituzionali che si correlano al diritto dei cittadini e alla correttezza dei funzionari. Tutto il personale in relazione ai compiti effettivamente svolti è pertanto tenuto alla puntuale osservanza delle norme anticorruzione e a fornire il suo apporto collaborativo al responsabile della prevenzione della corruzione per l’attuazione del presente Piano.</w:t>
      </w:r>
    </w:p>
    <w:p w:rsidR="00CC7B4D" w:rsidRDefault="00CC7B4D">
      <w:pPr>
        <w:spacing w:after="0"/>
        <w:jc w:val="both"/>
        <w:rPr>
          <w:rFonts w:ascii="Tahoma" w:hAnsi="Tahoma" w:cs="Tahoma"/>
        </w:rPr>
      </w:pPr>
    </w:p>
    <w:p w:rsidR="00CC7B4D" w:rsidRDefault="00CC7B4D">
      <w:pPr>
        <w:tabs>
          <w:tab w:val="left" w:pos="1400"/>
        </w:tabs>
        <w:spacing w:after="0"/>
        <w:jc w:val="both"/>
      </w:pPr>
      <w:r>
        <w:rPr>
          <w:rFonts w:ascii="Tahoma" w:eastAsia="Times New Roman" w:hAnsi="Tahoma" w:cs="Tahoma"/>
          <w:i/>
          <w:iCs/>
          <w:u w:val="single"/>
        </w:rPr>
        <w:t>L’Organismo Indipendente di Valutazione (OIV)</w:t>
      </w:r>
    </w:p>
    <w:p w:rsidR="00CC7B4D" w:rsidRDefault="00CC7B4D">
      <w:pPr>
        <w:numPr>
          <w:ilvl w:val="0"/>
          <w:numId w:val="5"/>
        </w:numPr>
        <w:tabs>
          <w:tab w:val="left" w:pos="720"/>
        </w:tabs>
        <w:spacing w:after="0"/>
        <w:ind w:left="720" w:hanging="367"/>
        <w:jc w:val="both"/>
      </w:pPr>
      <w:r>
        <w:rPr>
          <w:rFonts w:ascii="Tahoma" w:eastAsia="Arial" w:hAnsi="Tahoma" w:cs="Arial"/>
        </w:rPr>
        <w:t>Partecipa al processo di gestione del rischio;</w:t>
      </w:r>
    </w:p>
    <w:p w:rsidR="00CC7B4D" w:rsidRDefault="00CC7B4D">
      <w:pPr>
        <w:numPr>
          <w:ilvl w:val="0"/>
          <w:numId w:val="5"/>
        </w:numPr>
        <w:tabs>
          <w:tab w:val="left" w:pos="720"/>
        </w:tabs>
        <w:spacing w:after="0"/>
        <w:ind w:left="720" w:hanging="367"/>
        <w:jc w:val="both"/>
      </w:pPr>
      <w:r>
        <w:rPr>
          <w:rFonts w:ascii="Tahoma" w:eastAsia="Arial" w:hAnsi="Tahoma" w:cs="Arial"/>
        </w:rPr>
        <w:t>considera i rischi e le azioni inerenti la prevenzione della corruzione e della trasparenza nello svolgimento dei propri compiti;</w:t>
      </w:r>
    </w:p>
    <w:p w:rsidR="00CC7B4D" w:rsidRDefault="00CC7B4D">
      <w:pPr>
        <w:numPr>
          <w:ilvl w:val="0"/>
          <w:numId w:val="5"/>
        </w:numPr>
        <w:tabs>
          <w:tab w:val="left" w:pos="720"/>
        </w:tabs>
        <w:spacing w:after="0"/>
        <w:ind w:left="720" w:right="20" w:hanging="367"/>
        <w:jc w:val="both"/>
      </w:pPr>
      <w:r>
        <w:rPr>
          <w:rFonts w:ascii="Tahoma" w:eastAsia="Arial" w:hAnsi="Tahoma" w:cs="Arial"/>
        </w:rPr>
        <w:t>in relazione a casi di inadempimento degli obblighi di pubblicazione segnalati dal RPCT ai sensi dell'art. 43, D.Lgs. 33/2013 come modificato dal D.Lgs 97/2016, attiva le dovute forme di responsabilità;</w:t>
      </w:r>
    </w:p>
    <w:p w:rsidR="00CC7B4D" w:rsidRDefault="00CC7B4D">
      <w:pPr>
        <w:numPr>
          <w:ilvl w:val="0"/>
          <w:numId w:val="5"/>
        </w:numPr>
        <w:tabs>
          <w:tab w:val="left" w:pos="720"/>
        </w:tabs>
        <w:spacing w:after="0"/>
        <w:ind w:left="720" w:right="20" w:hanging="367"/>
        <w:jc w:val="both"/>
      </w:pPr>
      <w:r>
        <w:rPr>
          <w:rFonts w:ascii="Tahoma" w:eastAsia="Arial" w:hAnsi="Tahoma" w:cs="Arial"/>
        </w:rPr>
        <w:t>esprime parere obbligatorio sul Codice di comportamento aziendale (art. 54, comma 5, D.Lgs. 165/2001).</w:t>
      </w:r>
    </w:p>
    <w:p w:rsidR="00CC7B4D" w:rsidRDefault="00CC7B4D">
      <w:pPr>
        <w:spacing w:after="0"/>
        <w:jc w:val="both"/>
        <w:rPr>
          <w:rFonts w:ascii="Tahoma" w:eastAsia="Times New Roman" w:hAnsi="Tahoma" w:cs="Tahoma"/>
        </w:rPr>
      </w:pPr>
    </w:p>
    <w:p w:rsidR="00CC7B4D" w:rsidRDefault="00CC7B4D">
      <w:pPr>
        <w:spacing w:after="0"/>
        <w:ind w:right="20"/>
        <w:jc w:val="both"/>
      </w:pPr>
      <w:r>
        <w:rPr>
          <w:rFonts w:ascii="Tahoma" w:eastAsia="Arial" w:hAnsi="Tahoma" w:cs="Arial"/>
        </w:rPr>
        <w:t>Il Decreto legislativo 25 maggio 2016, n. 97 (FOIA) ha rafforzato le funzioni già affidate all'Organismo indipendente di valutazione in una logica di coordinamento con il RPCT e di relazione con l'ANAC.</w:t>
      </w:r>
    </w:p>
    <w:p w:rsidR="00CC7B4D" w:rsidRDefault="00CC7B4D">
      <w:pPr>
        <w:spacing w:after="0"/>
        <w:ind w:right="20"/>
        <w:jc w:val="both"/>
      </w:pPr>
      <w:r>
        <w:rPr>
          <w:rFonts w:ascii="Tahoma" w:eastAsia="Arial" w:hAnsi="Tahoma" w:cs="Arial"/>
        </w:rPr>
        <w:t xml:space="preserve">Il nuovo comma 8 bis dell'art. 1 L. 190/2012 come modificato dal D.lgs. 97/2016 prevede che l'OIV verifichi, anche ai fini della validazione della Relazione sulla performance, che i Piani triennali per la prevenzione della corruzione e trasparenza siano coerenti con gli obiettivi stabiliti nei documenti di programmazione strategico-gestionale e che nella misurazione e valutazione delle performance si tenga conto degli obiettivi connessi all'anticorruzione e alla trasparenza. Esso verifica inoltre i </w:t>
      </w:r>
      <w:r>
        <w:rPr>
          <w:rFonts w:ascii="Tahoma" w:eastAsia="Arial" w:hAnsi="Tahoma" w:cs="Arial"/>
        </w:rPr>
        <w:lastRenderedPageBreak/>
        <w:t>contenuti della Relazione, di cui al comma 14 dello stesso articolo, in rapporto agli obiettivi inerenti alla prevenzione della corruzione e alla trasparenza.</w:t>
      </w:r>
    </w:p>
    <w:p w:rsidR="00CC7B4D" w:rsidRDefault="00CC7B4D">
      <w:pPr>
        <w:spacing w:after="0"/>
        <w:ind w:left="7"/>
        <w:jc w:val="both"/>
      </w:pPr>
      <w:r>
        <w:rPr>
          <w:rFonts w:ascii="Tahoma" w:eastAsia="Arial" w:hAnsi="Tahoma" w:cs="Tahoma"/>
        </w:rPr>
        <w:t>A tal fine, l'OIV può chiedere al RPCT le informazioni e i documenti necessari per lo svolgimento del controllo e può effettuare audizioni di dipendenti. L'Organismo medesimo riferisce all'ANAC sullo stato di attuazione delle misure di prevenzione della corruzione e di trasparenza.</w:t>
      </w:r>
    </w:p>
    <w:p w:rsidR="00CC7B4D" w:rsidRDefault="00CC7B4D">
      <w:pPr>
        <w:spacing w:after="0"/>
        <w:jc w:val="both"/>
        <w:rPr>
          <w:rFonts w:ascii="Tahoma" w:eastAsia="Arial" w:hAnsi="Tahoma" w:cs="Tahoma"/>
        </w:rPr>
      </w:pPr>
    </w:p>
    <w:p w:rsidR="00CC7B4D" w:rsidRDefault="00CC7B4D">
      <w:pPr>
        <w:spacing w:after="0"/>
      </w:pPr>
      <w:r>
        <w:rPr>
          <w:rFonts w:ascii="Tahoma" w:hAnsi="Tahoma" w:cs="Tahoma"/>
          <w:b/>
          <w:bCs/>
        </w:rPr>
        <w:t>Trasparenza dell’attività amministrativa</w:t>
      </w:r>
    </w:p>
    <w:p w:rsidR="00CC7B4D" w:rsidRDefault="00CC7B4D">
      <w:pPr>
        <w:spacing w:after="0"/>
        <w:jc w:val="both"/>
      </w:pPr>
      <w:r>
        <w:rPr>
          <w:rFonts w:ascii="Tahoma" w:hAnsi="Tahoma" w:cs="Tahoma"/>
        </w:rPr>
        <w:t xml:space="preserve">Il Decreto legislativo n. 33 del 14 marzo 2013 (“Riordino della disciplina riguardante gli obblighi di pubblicità, trasparenza e diffusione delle informazioni da parte delle pubbliche Amministrazioni”) è un testo normativo fondamentale in materia di trasparenza poiché, oltre ad individuare gli obblighi ed i destinatari, dettaglia anche le modalità con le quali ottemperare detti obblighi. </w:t>
      </w:r>
    </w:p>
    <w:p w:rsidR="00CC7B4D" w:rsidRDefault="00CC7B4D">
      <w:pPr>
        <w:spacing w:after="0"/>
        <w:jc w:val="both"/>
      </w:pPr>
      <w:r>
        <w:rPr>
          <w:rFonts w:ascii="Tahoma" w:hAnsi="Tahoma" w:cs="Tahoma"/>
        </w:rPr>
        <w:t>Il d.lgs. 97/2016 (“Revisione e semplificazione delle disposizioni in materia di prevenzione della corruzione, pubblicità e trasparenza, correttivo della legge 6 novembre 2012, n. 190 e del decreto legislativo 14 marzo 2013 n. 33, ai sensi dell’articolo 7 della legge 7 agosto 2015, n. 124 in materia di riorganizzazione delle amministrazioni pubbliche”), di seguito “d.lgs. 97/2016”, ha apportato numerosi cambiamenti alla normativa sulla trasparenza, rafforzandone il valore di principio che caratterizza l’organizzazione e l’attività delle pubbliche amministrazioni e i rapporti con i cittadini.</w:t>
      </w:r>
    </w:p>
    <w:p w:rsidR="00CC7B4D" w:rsidRDefault="00CC7B4D">
      <w:pPr>
        <w:spacing w:after="0"/>
        <w:jc w:val="both"/>
      </w:pPr>
      <w:r>
        <w:rPr>
          <w:rFonts w:ascii="Tahoma" w:hAnsi="Tahoma" w:cs="Tahoma"/>
        </w:rPr>
        <w:t>Il d.lgs. 97/2016 è intervenuto, con abrogazioni o integrazioni, su diversi obblighi di trasparenza. Tra le modifiche di carattere generale di maggior rilievo, si rileva il mutamento dell’ambito soggettivo di applicazione della normativa sulla trasparenza, l’introduzione del nuovo istituto dell’accesso civico generalizzato agli atti e ai documenti detenuti dalle pubbliche amministrazioni, l’unificazione fra il Programma triennale di prevenzione della corruzione e quello della trasparenza, l’introduzione di nuove sanzioni pecuniarie nonché l’attribuzione ad ANAC della competenza all’irrogazione delle stesse.</w:t>
      </w:r>
    </w:p>
    <w:p w:rsidR="00CC7B4D" w:rsidRDefault="00CC7B4D">
      <w:pPr>
        <w:spacing w:after="0"/>
        <w:jc w:val="both"/>
      </w:pPr>
      <w:r>
        <w:rPr>
          <w:rFonts w:ascii="Tahoma" w:hAnsi="Tahoma" w:cs="Tahoma"/>
        </w:rPr>
        <w:t xml:space="preserve">Venezia Sanità intende promuovere la trasparenza relativamente ai dati, alle informazioni e ai documenti concernenti la propria attività e la propria organizzazione, per consentire ai cittadini: </w:t>
      </w:r>
    </w:p>
    <w:p w:rsidR="00CC7B4D" w:rsidRDefault="00CC7B4D">
      <w:pPr>
        <w:numPr>
          <w:ilvl w:val="0"/>
          <w:numId w:val="8"/>
        </w:numPr>
        <w:spacing w:after="0"/>
        <w:jc w:val="both"/>
      </w:pPr>
      <w:r>
        <w:rPr>
          <w:rFonts w:ascii="Tahoma" w:hAnsi="Tahoma" w:cs="Tahoma"/>
        </w:rPr>
        <w:t xml:space="preserve">di controllare la gestione dei processi, per stimolarne il miglioramento oltre che per prevenire fenomeni corruttivi e promuovere l'integrità; </w:t>
      </w:r>
    </w:p>
    <w:p w:rsidR="00CC7B4D" w:rsidRDefault="00CC7B4D">
      <w:pPr>
        <w:numPr>
          <w:ilvl w:val="0"/>
          <w:numId w:val="8"/>
        </w:numPr>
        <w:spacing w:after="0"/>
        <w:jc w:val="both"/>
      </w:pPr>
      <w:r>
        <w:rPr>
          <w:rFonts w:ascii="Tahoma" w:hAnsi="Tahoma" w:cs="Tahoma"/>
        </w:rPr>
        <w:t>di conoscere l’entità e la destinazione delle risorse e dei beni pubblici (mobili e immobili) affiati alla società.</w:t>
      </w:r>
    </w:p>
    <w:p w:rsidR="00CC7B4D" w:rsidRDefault="00CC7B4D">
      <w:pPr>
        <w:spacing w:after="0"/>
        <w:rPr>
          <w:rFonts w:ascii="Tahoma" w:hAnsi="Tahoma" w:cs="Tahoma"/>
        </w:rPr>
      </w:pPr>
    </w:p>
    <w:p w:rsidR="00CC7B4D" w:rsidRDefault="00CC7B4D">
      <w:pPr>
        <w:spacing w:after="0"/>
      </w:pPr>
      <w:r>
        <w:rPr>
          <w:rFonts w:ascii="Tahoma" w:hAnsi="Tahoma" w:cs="Tahoma"/>
          <w:b/>
          <w:bCs/>
        </w:rPr>
        <w:t>Sito web - “Società trasparente”</w:t>
      </w:r>
    </w:p>
    <w:p w:rsidR="00CC7B4D" w:rsidRDefault="00CC7B4D">
      <w:pPr>
        <w:spacing w:after="0"/>
        <w:jc w:val="both"/>
      </w:pPr>
      <w:r>
        <w:rPr>
          <w:rFonts w:ascii="Tahoma" w:hAnsi="Tahoma" w:cs="Tahoma"/>
        </w:rPr>
        <w:t>I documenti, le informazioni e i dati concernenti l'organizzazione e l'attività di Venezia Sanità Srl sono contenuti nel sito ufficiale della ULSS 3 Serenissima, all’interno della sezione “Società Trasparente”. La sezione è attualmente in fase di aggiornamento e rielaborazione, alla luce delle modifiche agli obblighi di trasparenza apportate dal d.lgs. 97/2016 e delle nuove linee guida di ANAC per l’adempimento degli obblighi di trasparenza e prevenzione della corruzione da parte delle società in controllo pubblico</w:t>
      </w:r>
      <w:r>
        <w:rPr>
          <w:rStyle w:val="Rimandonotaapidipagina"/>
          <w:rFonts w:ascii="Tahoma" w:hAnsi="Tahoma" w:cs="Tahoma"/>
        </w:rPr>
        <w:footnoteReference w:id="2"/>
      </w:r>
      <w:r>
        <w:rPr>
          <w:rFonts w:ascii="Tahoma" w:hAnsi="Tahoma" w:cs="Tahoma"/>
        </w:rPr>
        <w:t>.</w:t>
      </w:r>
    </w:p>
    <w:p w:rsidR="00CC7B4D" w:rsidRDefault="00CC7B4D">
      <w:pPr>
        <w:spacing w:after="0"/>
        <w:jc w:val="both"/>
        <w:rPr>
          <w:rFonts w:ascii="Tahoma" w:hAnsi="Tahoma" w:cs="Tahoma"/>
          <w:b/>
          <w:bCs/>
        </w:rPr>
      </w:pPr>
    </w:p>
    <w:p w:rsidR="000E0A04" w:rsidRDefault="000E0A04">
      <w:pPr>
        <w:spacing w:after="0"/>
        <w:jc w:val="both"/>
        <w:rPr>
          <w:rFonts w:ascii="Tahoma" w:hAnsi="Tahoma" w:cs="Tahoma"/>
          <w:b/>
          <w:bCs/>
        </w:rPr>
      </w:pPr>
    </w:p>
    <w:p w:rsidR="000E0A04" w:rsidRDefault="000E0A04">
      <w:pPr>
        <w:spacing w:after="0"/>
        <w:jc w:val="both"/>
        <w:rPr>
          <w:rFonts w:ascii="Tahoma" w:hAnsi="Tahoma" w:cs="Tahoma"/>
          <w:b/>
          <w:bCs/>
        </w:rPr>
      </w:pPr>
    </w:p>
    <w:p w:rsidR="000E0A04" w:rsidRDefault="000E0A04">
      <w:pPr>
        <w:spacing w:after="0"/>
        <w:jc w:val="both"/>
        <w:rPr>
          <w:rFonts w:ascii="Tahoma" w:hAnsi="Tahoma" w:cs="Tahoma"/>
          <w:b/>
          <w:bCs/>
        </w:rPr>
      </w:pPr>
    </w:p>
    <w:p w:rsidR="000E0A04" w:rsidRDefault="000E0A04">
      <w:pPr>
        <w:spacing w:after="0"/>
        <w:jc w:val="both"/>
        <w:rPr>
          <w:rFonts w:ascii="Tahoma" w:hAnsi="Tahoma" w:cs="Tahoma"/>
          <w:b/>
          <w:bCs/>
        </w:rPr>
      </w:pPr>
    </w:p>
    <w:p w:rsidR="00CC7B4D" w:rsidRDefault="00CC7B4D">
      <w:pPr>
        <w:spacing w:after="0"/>
        <w:jc w:val="both"/>
      </w:pPr>
      <w:r>
        <w:rPr>
          <w:rFonts w:ascii="Tahoma" w:hAnsi="Tahoma" w:cs="Tahoma"/>
          <w:b/>
          <w:bCs/>
        </w:rPr>
        <w:lastRenderedPageBreak/>
        <w:t>Responsabilità in materia di trasparenza</w:t>
      </w:r>
    </w:p>
    <w:p w:rsidR="00CC7B4D" w:rsidRDefault="00CC7B4D">
      <w:pPr>
        <w:spacing w:after="0"/>
        <w:jc w:val="both"/>
      </w:pPr>
      <w:r>
        <w:rPr>
          <w:rFonts w:ascii="Tahoma" w:hAnsi="Tahoma" w:cs="Tahoma"/>
          <w:i/>
          <w:u w:val="single"/>
        </w:rPr>
        <w:t>Responsabile per la prevenzione della corruzione e trasparenza (RPCT)</w:t>
      </w:r>
    </w:p>
    <w:p w:rsidR="00CC7B4D" w:rsidRDefault="00CC7B4D">
      <w:pPr>
        <w:numPr>
          <w:ilvl w:val="0"/>
          <w:numId w:val="8"/>
        </w:numPr>
        <w:spacing w:after="0"/>
        <w:jc w:val="both"/>
      </w:pPr>
      <w:r>
        <w:rPr>
          <w:rFonts w:ascii="Tahoma" w:hAnsi="Tahoma" w:cs="Tahoma"/>
        </w:rPr>
        <w:t>il coordinamento e il controllo sull’adempimento degli obblighi di pubblicazione previsti dalla normativa vigente, assicurando la continuità, la completezza, la chiarezza ed l’aggiornamento delle informazioni pubblicate;</w:t>
      </w:r>
    </w:p>
    <w:p w:rsidR="00CC7B4D" w:rsidRDefault="00CC7B4D">
      <w:pPr>
        <w:numPr>
          <w:ilvl w:val="0"/>
          <w:numId w:val="8"/>
        </w:numPr>
        <w:spacing w:after="0"/>
        <w:jc w:val="both"/>
      </w:pPr>
      <w:r>
        <w:rPr>
          <w:rFonts w:ascii="Tahoma" w:hAnsi="Tahoma" w:cs="Tahoma"/>
        </w:rPr>
        <w:t>il controllo della regolare attuazione dell’accesso civico e dell’accesso generalizzato;</w:t>
      </w:r>
    </w:p>
    <w:p w:rsidR="00CC7B4D" w:rsidRDefault="00CC7B4D">
      <w:pPr>
        <w:numPr>
          <w:ilvl w:val="0"/>
          <w:numId w:val="8"/>
        </w:numPr>
        <w:spacing w:after="0"/>
        <w:jc w:val="both"/>
      </w:pPr>
      <w:r>
        <w:rPr>
          <w:rFonts w:ascii="Tahoma" w:hAnsi="Tahoma" w:cs="Tahoma"/>
        </w:rPr>
        <w:t>la segnalazione dei casi di inadempimento o adempimento parziale degli obblighi in materia di pubblicazione, come previsti dalla normativa vigente;</w:t>
      </w:r>
    </w:p>
    <w:p w:rsidR="00CC7B4D" w:rsidRDefault="00CC7B4D">
      <w:pPr>
        <w:numPr>
          <w:ilvl w:val="0"/>
          <w:numId w:val="8"/>
        </w:numPr>
        <w:spacing w:after="0"/>
        <w:jc w:val="both"/>
      </w:pPr>
      <w:r>
        <w:rPr>
          <w:rFonts w:ascii="Tahoma" w:hAnsi="Tahoma" w:cs="Tahoma"/>
        </w:rPr>
        <w:t>la guida dell’intero processo di realizzazione delle iniziative volte a garantire la piena attuazione dell’accesso civico e dell’accesso generalizzato;</w:t>
      </w:r>
    </w:p>
    <w:p w:rsidR="00CC7B4D" w:rsidRDefault="00CC7B4D">
      <w:pPr>
        <w:numPr>
          <w:ilvl w:val="0"/>
          <w:numId w:val="8"/>
        </w:numPr>
        <w:spacing w:after="0"/>
        <w:jc w:val="both"/>
      </w:pPr>
      <w:r>
        <w:rPr>
          <w:rFonts w:ascii="Tahoma" w:hAnsi="Tahoma" w:cs="Tahoma"/>
        </w:rPr>
        <w:t>il riesame delle istanze di accesso generalizzato.</w:t>
      </w:r>
    </w:p>
    <w:p w:rsidR="00CC7B4D" w:rsidRDefault="00CC7B4D">
      <w:pPr>
        <w:spacing w:after="0"/>
        <w:jc w:val="both"/>
        <w:rPr>
          <w:rFonts w:ascii="Tahoma" w:hAnsi="Tahoma" w:cs="Tahoma"/>
        </w:rPr>
      </w:pPr>
    </w:p>
    <w:p w:rsidR="00CC7B4D" w:rsidRDefault="00CC7B4D">
      <w:pPr>
        <w:spacing w:after="0"/>
        <w:jc w:val="both"/>
      </w:pPr>
      <w:r>
        <w:rPr>
          <w:rFonts w:ascii="Tahoma" w:hAnsi="Tahoma" w:cs="Tahoma"/>
        </w:rPr>
        <w:t>Il RPCT si avvale del supporto e della collaborazione delle altre strutture aziendali interessate, le quali sono tenute a fornire, tempestivamente, tutte le informazioni richieste al fine del corretto svolgimento dell’attività di verifica e di controllo.</w:t>
      </w:r>
    </w:p>
    <w:p w:rsidR="00CC7B4D" w:rsidRDefault="00CC7B4D">
      <w:pPr>
        <w:spacing w:after="0"/>
        <w:jc w:val="both"/>
        <w:rPr>
          <w:rFonts w:ascii="Tahoma" w:hAnsi="Tahoma" w:cs="Tahoma"/>
          <w:i/>
        </w:rPr>
      </w:pPr>
    </w:p>
    <w:p w:rsidR="00CC7B4D" w:rsidRDefault="00CC7B4D">
      <w:pPr>
        <w:spacing w:after="0"/>
        <w:jc w:val="both"/>
      </w:pPr>
      <w:r>
        <w:rPr>
          <w:rFonts w:ascii="Tahoma" w:hAnsi="Tahoma" w:cs="Tahoma"/>
          <w:i/>
          <w:u w:val="single"/>
        </w:rPr>
        <w:t>Direttore Amministrativo</w:t>
      </w:r>
    </w:p>
    <w:p w:rsidR="00CC7B4D" w:rsidRDefault="00CC7B4D">
      <w:pPr>
        <w:spacing w:after="0"/>
        <w:jc w:val="both"/>
      </w:pPr>
      <w:r>
        <w:rPr>
          <w:rFonts w:ascii="Tahoma" w:hAnsi="Tahoma" w:cs="Tahoma"/>
        </w:rPr>
        <w:t>Il Direttore Amministrativo:</w:t>
      </w:r>
    </w:p>
    <w:p w:rsidR="00CC7B4D" w:rsidRDefault="00CC7B4D">
      <w:pPr>
        <w:numPr>
          <w:ilvl w:val="0"/>
          <w:numId w:val="11"/>
        </w:numPr>
        <w:spacing w:after="0"/>
        <w:jc w:val="both"/>
      </w:pPr>
      <w:r>
        <w:rPr>
          <w:rFonts w:ascii="Tahoma" w:hAnsi="Tahoma" w:cs="Tahoma"/>
        </w:rPr>
        <w:t>riceve dagli uffici i dati, le informazioni e i documenti soggetti ad obbligo di pubblicazione;</w:t>
      </w:r>
    </w:p>
    <w:p w:rsidR="00CC7B4D" w:rsidRDefault="00CC7B4D">
      <w:pPr>
        <w:numPr>
          <w:ilvl w:val="0"/>
          <w:numId w:val="11"/>
        </w:numPr>
        <w:spacing w:after="0"/>
        <w:jc w:val="both"/>
      </w:pPr>
      <w:r>
        <w:rPr>
          <w:rFonts w:ascii="Tahoma" w:hAnsi="Tahoma" w:cs="Tahoma"/>
        </w:rPr>
        <w:t xml:space="preserve">carica e mantiene aggiornati i dati, le informazioni e i documenti nella sezione “Società trasparente” </w:t>
      </w:r>
    </w:p>
    <w:p w:rsidR="00CC7B4D" w:rsidRDefault="00CC7B4D">
      <w:pPr>
        <w:numPr>
          <w:ilvl w:val="0"/>
          <w:numId w:val="11"/>
        </w:numPr>
        <w:spacing w:after="0"/>
        <w:jc w:val="both"/>
      </w:pPr>
      <w:r>
        <w:rPr>
          <w:rFonts w:ascii="Tahoma" w:hAnsi="Tahoma" w:cs="Tahoma"/>
        </w:rPr>
        <w:t>cura l’integrità,   l’aggiornamento,   la   completezza,   la   tempestività,   la   semplicità   di consultazione, la comprensibilità dei dati e delle informazioni;</w:t>
      </w:r>
    </w:p>
    <w:p w:rsidR="00CC7B4D" w:rsidRDefault="00CC7B4D">
      <w:pPr>
        <w:numPr>
          <w:ilvl w:val="0"/>
          <w:numId w:val="11"/>
        </w:numPr>
        <w:spacing w:after="0"/>
        <w:jc w:val="both"/>
      </w:pPr>
      <w:r>
        <w:rPr>
          <w:rFonts w:ascii="Tahoma" w:hAnsi="Tahoma" w:cs="Tahoma"/>
        </w:rPr>
        <w:t>segnala al RPCT i casi di tardiva o mancata comunicazione di dati, documenti o informazione da parte degli uffici.</w:t>
      </w:r>
    </w:p>
    <w:p w:rsidR="00CC7B4D" w:rsidRDefault="00CC7B4D">
      <w:pPr>
        <w:spacing w:after="0"/>
        <w:jc w:val="both"/>
        <w:rPr>
          <w:rFonts w:ascii="Tahoma" w:hAnsi="Tahoma" w:cs="Tahoma"/>
          <w:i/>
        </w:rPr>
      </w:pPr>
    </w:p>
    <w:p w:rsidR="00CC7B4D" w:rsidRDefault="00CC7B4D">
      <w:pPr>
        <w:spacing w:after="0"/>
        <w:jc w:val="both"/>
      </w:pPr>
      <w:r>
        <w:rPr>
          <w:rFonts w:ascii="Tahoma" w:hAnsi="Tahoma" w:cs="Tahoma"/>
          <w:i/>
          <w:u w:val="single"/>
        </w:rPr>
        <w:t>Personale degli uffici</w:t>
      </w:r>
    </w:p>
    <w:p w:rsidR="00CC7B4D" w:rsidRDefault="00CC7B4D">
      <w:pPr>
        <w:spacing w:after="0"/>
        <w:jc w:val="both"/>
      </w:pPr>
      <w:r>
        <w:rPr>
          <w:rFonts w:ascii="Tahoma" w:hAnsi="Tahoma" w:cs="Tahoma"/>
        </w:rPr>
        <w:t>II responsabili degli uffici sono chiamati a:</w:t>
      </w:r>
    </w:p>
    <w:p w:rsidR="00CC7B4D" w:rsidRDefault="00CC7B4D">
      <w:pPr>
        <w:numPr>
          <w:ilvl w:val="0"/>
          <w:numId w:val="11"/>
        </w:numPr>
        <w:spacing w:after="0"/>
        <w:jc w:val="both"/>
      </w:pPr>
      <w:r>
        <w:rPr>
          <w:rFonts w:ascii="Tahoma" w:hAnsi="Tahoma" w:cs="Tahoma"/>
        </w:rPr>
        <w:t>garantire  al  Direttore Amministrativo il  tempestivo  e  regolare  flusso  di  informazioni  da pubblicare ai fini del rispetto dei termini stabiliti;</w:t>
      </w:r>
    </w:p>
    <w:p w:rsidR="00CC7B4D" w:rsidRDefault="00CC7B4D">
      <w:pPr>
        <w:numPr>
          <w:ilvl w:val="0"/>
          <w:numId w:val="11"/>
        </w:numPr>
        <w:spacing w:after="0"/>
        <w:jc w:val="both"/>
      </w:pPr>
      <w:r>
        <w:rPr>
          <w:rFonts w:ascii="Tahoma" w:hAnsi="Tahoma" w:cs="Tahoma"/>
        </w:rPr>
        <w:t>garantire l’omogeneità, la facile accessibilità, la conformità delle informazioni rispetto ai documenti originali, indicando la provenienza e/o la riutilizzabilità delle informazioni pubblicate.</w:t>
      </w:r>
    </w:p>
    <w:p w:rsidR="00CC7B4D" w:rsidRDefault="00CC7B4D">
      <w:pPr>
        <w:spacing w:after="0"/>
        <w:rPr>
          <w:rFonts w:ascii="Tahoma" w:hAnsi="Tahoma" w:cs="Tahoma"/>
        </w:rPr>
      </w:pPr>
    </w:p>
    <w:p w:rsidR="00CC7B4D" w:rsidRDefault="00CC7B4D">
      <w:pPr>
        <w:spacing w:after="0"/>
        <w:jc w:val="both"/>
      </w:pPr>
      <w:r>
        <w:rPr>
          <w:rFonts w:ascii="Tahoma" w:hAnsi="Tahoma" w:cs="Tahoma"/>
          <w:b/>
          <w:bCs/>
        </w:rPr>
        <w:t>La formazione del personale (cfr art. 1, c. 9, b), legge 190/2012)</w:t>
      </w:r>
    </w:p>
    <w:p w:rsidR="00CC7B4D" w:rsidRDefault="00CC7B4D">
      <w:pPr>
        <w:spacing w:after="0"/>
        <w:jc w:val="both"/>
      </w:pPr>
      <w:r>
        <w:rPr>
          <w:rFonts w:ascii="Tahoma" w:hAnsi="Tahoma" w:cs="Tahoma"/>
        </w:rPr>
        <w:t>Tutti i dipendenti, in particolare coloro che, direttamente o indirettamente, svolgono attività ritenute ad elevato rischio di corruzione, devono partecipare ad un programma formativo sulla prevenzione e repressione della corruzione, e sui temi della legalità.</w:t>
      </w:r>
    </w:p>
    <w:p w:rsidR="00CC7B4D" w:rsidRDefault="00CC7B4D">
      <w:pPr>
        <w:spacing w:after="0"/>
        <w:jc w:val="both"/>
      </w:pPr>
      <w:r>
        <w:rPr>
          <w:rFonts w:ascii="Tahoma" w:hAnsi="Tahoma" w:cs="Tahoma"/>
        </w:rPr>
        <w:t>Il Piano Annuale di Formazione deve pertanto prevedere percorsi formativi a ciò finalizzati. Tali percorsi formativi, definiti d’intesa con la struttura aziendale responsabile della formazione e dell’aggiornamento, devono essere indirizzati secondo un approccio che sia al contempo normativo-specialistico e valoriale, in modo da accrescere le competenze e lo sviluppo del senso etico e, quindi, riguardano tanto le norme penali in materia di reati contro la pubblica amministrazione (norme in materia di trasparenza e integrità, anticorruzione, codici disciplinare e di comportamento dei pubblici dipendenti), quanto gli aspetti etici e della legalità dell’attività amministrativa, oltre ad ogni altra tematica che si ritenga utile e opportuna per prevenire e contrastare la corruzione nella Società.</w:t>
      </w:r>
    </w:p>
    <w:p w:rsidR="00CC7B4D" w:rsidRDefault="00CC7B4D">
      <w:pPr>
        <w:spacing w:after="0"/>
        <w:jc w:val="both"/>
      </w:pPr>
      <w:r>
        <w:rPr>
          <w:rFonts w:ascii="Tahoma" w:hAnsi="Tahoma" w:cs="Tahoma"/>
        </w:rPr>
        <w:lastRenderedPageBreak/>
        <w:t>I partecipanti a tali percorsi formativi curano, presso le rispettive strutture, dei successivi incontri formativi brevi nel corso dei quali espongono le indicazioni essenziali apprese, assicurando così, con un percorso “a cascata”, la più ampia divulgazione delle tematiche relative alla prevenzione e al contrasto della corruzione, e all’etica professionale.</w:t>
      </w:r>
    </w:p>
    <w:p w:rsidR="00CC7B4D" w:rsidRDefault="00CC7B4D">
      <w:pPr>
        <w:spacing w:after="0"/>
        <w:jc w:val="both"/>
        <w:rPr>
          <w:rFonts w:ascii="Tahoma" w:hAnsi="Tahoma" w:cs="Tahoma"/>
        </w:rPr>
      </w:pPr>
    </w:p>
    <w:p w:rsidR="00CC7B4D" w:rsidRDefault="00CC7B4D">
      <w:pPr>
        <w:spacing w:after="0"/>
        <w:jc w:val="both"/>
      </w:pPr>
      <w:r>
        <w:rPr>
          <w:rFonts w:ascii="Tahoma" w:hAnsi="Tahoma" w:cs="Tahoma"/>
          <w:b/>
          <w:bCs/>
        </w:rPr>
        <w:t>Accesso civico, accesso generalizzato ed accesso documentale</w:t>
      </w:r>
    </w:p>
    <w:p w:rsidR="00CC7B4D" w:rsidRDefault="00CC7B4D">
      <w:pPr>
        <w:spacing w:after="0"/>
        <w:jc w:val="both"/>
      </w:pPr>
      <w:r>
        <w:rPr>
          <w:rFonts w:ascii="Tahoma" w:hAnsi="Tahoma" w:cs="Tahoma"/>
        </w:rPr>
        <w:t>Il d.lgs. 97/2016 ha introdotto nell’ordinamento italiano il diritto di accesso generalizzato (art. 5, comma 1 del d.lgs. 33/2013). In virtù di tale diritto, allo scopo di favorire forme diffuse di controllo sul perseguimento delle funzioni istituzionali e sull'utilizzo delle risorse pubbliche e di promuovere la partecipazione al dibattito pubblico, chiunque ha diritto di accedere ai dati e ai documenti detenuti dalle pubbliche amministrazioni, ulteriori rispetto a quelli oggetto di pubblicazione ai sensi del presente decreto, nel rispetto dei limiti relativi alla tutela di interessi giuridicamente rilevanti.</w:t>
      </w:r>
    </w:p>
    <w:p w:rsidR="00CC7B4D" w:rsidRDefault="00CC7B4D">
      <w:pPr>
        <w:spacing w:after="0"/>
        <w:jc w:val="both"/>
      </w:pPr>
      <w:r>
        <w:rPr>
          <w:rFonts w:ascii="Tahoma" w:hAnsi="Tahoma" w:cs="Tahoma"/>
        </w:rPr>
        <w:t>Il diritto di accesso generalizzato si affianca (e in parte si sovrappone) al già esistente diritto di accesso civico (art. 5, comma 1, d.lgs. 33/2013) e al diritto di accesso agli atti previsto dalla Legge 241/1990.</w:t>
      </w:r>
    </w:p>
    <w:p w:rsidR="00CC7B4D" w:rsidRDefault="00CC7B4D">
      <w:pPr>
        <w:spacing w:after="0"/>
        <w:jc w:val="both"/>
      </w:pPr>
      <w:r>
        <w:rPr>
          <w:rFonts w:ascii="Tahoma" w:hAnsi="Tahoma" w:cs="Tahoma"/>
        </w:rPr>
        <w:t xml:space="preserve">Per allinearsi al nuovo quadro normativo, l’Azienda ULSS ha elaborato un Regolamento per la gestione delle richieste di accesso civico e di accesso generalizzato, prendendo spunto dalle </w:t>
      </w:r>
      <w:r>
        <w:rPr>
          <w:rFonts w:ascii="Tahoma" w:hAnsi="Tahoma" w:cs="Tahoma"/>
          <w:i/>
        </w:rPr>
        <w:t xml:space="preserve">Istruzioni Tecniche, Linee Guida, Note e Modulistica </w:t>
      </w:r>
      <w:r>
        <w:rPr>
          <w:rFonts w:ascii="Tahoma" w:hAnsi="Tahoma" w:cs="Tahoma"/>
        </w:rPr>
        <w:t>elaborate da ANCI per gli enti locali; ma che, per la loro completezza e chiarezza, possono essere adattate anche al contesto di Venezia Sanità</w:t>
      </w:r>
      <w:r>
        <w:rPr>
          <w:rFonts w:ascii="Tahoma" w:hAnsi="Tahoma" w:cs="Tahoma"/>
          <w:i/>
        </w:rPr>
        <w:t xml:space="preserve"> </w:t>
      </w:r>
      <w:r>
        <w:rPr>
          <w:rFonts w:ascii="Tahoma" w:hAnsi="Tahoma" w:cs="Tahoma"/>
        </w:rPr>
        <w:t>Srl.</w:t>
      </w:r>
    </w:p>
    <w:p w:rsidR="00CC7B4D" w:rsidRDefault="00CC7B4D">
      <w:pPr>
        <w:spacing w:after="0"/>
        <w:jc w:val="both"/>
        <w:rPr>
          <w:rFonts w:ascii="Tahoma" w:hAnsi="Tahoma" w:cs="Tahoma"/>
        </w:rPr>
      </w:pPr>
    </w:p>
    <w:p w:rsidR="00CC7B4D" w:rsidRDefault="00CC7B4D">
      <w:pPr>
        <w:spacing w:after="0"/>
      </w:pPr>
      <w:r>
        <w:rPr>
          <w:rFonts w:ascii="Tahoma" w:hAnsi="Tahoma" w:cs="Tahoma"/>
          <w:b/>
          <w:bCs/>
        </w:rPr>
        <w:t>Segnalazioni e controlli</w:t>
      </w:r>
    </w:p>
    <w:p w:rsidR="00CC7B4D" w:rsidRDefault="00CC7B4D">
      <w:pPr>
        <w:spacing w:after="0"/>
        <w:jc w:val="both"/>
      </w:pPr>
      <w:r>
        <w:rPr>
          <w:rFonts w:ascii="Tahoma" w:hAnsi="Tahoma" w:cs="Tahoma"/>
        </w:rPr>
        <w:t>Il Responsabile aziendale della prevenzione della corruzione è tempestivamente informato degli eventuali comportamenti e delle condotte illecite (o comunque in violazione del codice di comportamento e disciplinare) che le competenti strutture aziendali dovessero rilevare. Parimenti, egli è informato degli eventuali profili di irregolarità evidenziati dalle verifiche sulle autorizzazioni delle attività extra-istituzionali, sulla vigilanza sulla inconferibilità ed incompatibilità degli incarichi, nonché sul monitoraggio delle relazioni esistenti tra dipendenti aziendali e soggetti terzi che hanno vantaggi economici da rapporti con l’Azienda. Quanto sopra anche allo scopo di verificare settori e</w:t>
      </w:r>
    </w:p>
    <w:p w:rsidR="00CC7B4D" w:rsidRDefault="00CC7B4D">
      <w:pPr>
        <w:spacing w:after="0"/>
        <w:jc w:val="both"/>
      </w:pPr>
      <w:r>
        <w:rPr>
          <w:rFonts w:ascii="Tahoma" w:hAnsi="Tahoma" w:cs="Tahoma"/>
        </w:rPr>
        <w:t>funzioni aziendali con maggiore esposizione al rischio di corruzione.</w:t>
      </w:r>
    </w:p>
    <w:p w:rsidR="00CC7B4D" w:rsidRDefault="00CC7B4D">
      <w:pPr>
        <w:spacing w:after="0"/>
        <w:rPr>
          <w:rFonts w:ascii="Tahoma" w:hAnsi="Tahoma" w:cs="Tahoma"/>
          <w:b/>
          <w:bCs/>
        </w:rPr>
      </w:pPr>
    </w:p>
    <w:p w:rsidR="00CC7B4D" w:rsidRDefault="00CC7B4D">
      <w:pPr>
        <w:spacing w:after="0"/>
      </w:pPr>
      <w:r>
        <w:rPr>
          <w:rFonts w:ascii="Tahoma" w:hAnsi="Tahoma" w:cs="Tahoma"/>
          <w:b/>
          <w:bCs/>
        </w:rPr>
        <w:t>Conflitto di interessi</w:t>
      </w:r>
    </w:p>
    <w:p w:rsidR="00CC7B4D" w:rsidRDefault="00CC7B4D">
      <w:pPr>
        <w:spacing w:after="0"/>
        <w:jc w:val="both"/>
      </w:pPr>
      <w:r>
        <w:rPr>
          <w:rFonts w:ascii="Tahoma" w:hAnsi="Tahoma" w:cs="Tahoma"/>
        </w:rPr>
        <w:t>Tutti i dipendenti/collaboratori/consulenti a qualsiasi titolo dell’Azienda, nei loro rapporti esterni con clienti/fornitori/contraenti e concorrenti, devono curare gli interessi dell’Azienda stessa rispetto ad ogni altra situazione che possa concretizzare un vantaggio personale anche di natura non patrimoniale. I dipendenti destinati a operare nei settori e/o attività particolarmente esposti al rischio di corruzione devono astenersi da quella specifica attività in caso di conflitto di interessi, segnalando tempestivamente al proprio Dirigente, con atto scritto, ogni situazione di conflitto anche potenziale.</w:t>
      </w:r>
    </w:p>
    <w:p w:rsidR="00CC7B4D" w:rsidRDefault="00CC7B4D">
      <w:pPr>
        <w:spacing w:after="0"/>
        <w:jc w:val="both"/>
      </w:pPr>
      <w:r>
        <w:rPr>
          <w:rFonts w:ascii="Tahoma" w:hAnsi="Tahoma" w:cs="Tahoma"/>
        </w:rPr>
        <w:t>Per quanto non espressamente previsto nel presente Piano trovano applicazione le norme dettate dalla legge 6 novembre 2012, n. 190, e la vigente normativa statale e regionale in materia.</w:t>
      </w:r>
    </w:p>
    <w:p w:rsidR="00CC7B4D" w:rsidRDefault="00CC7B4D">
      <w:pPr>
        <w:spacing w:after="0"/>
        <w:rPr>
          <w:rFonts w:ascii="Tahoma" w:hAnsi="Tahoma" w:cs="Tahoma"/>
          <w:b/>
          <w:bCs/>
        </w:rPr>
      </w:pPr>
    </w:p>
    <w:p w:rsidR="00CC7B4D" w:rsidRDefault="00CC7B4D">
      <w:pPr>
        <w:spacing w:after="0"/>
      </w:pPr>
      <w:r>
        <w:rPr>
          <w:rFonts w:ascii="Tahoma" w:hAnsi="Tahoma" w:cs="Tahoma"/>
          <w:b/>
          <w:bCs/>
        </w:rPr>
        <w:t>Tutela del dipendente che segnala illeciti</w:t>
      </w:r>
      <w:r w:rsidR="007F3BB1" w:rsidRPr="007F3BB1">
        <w:rPr>
          <w:rFonts w:ascii="Tahoma" w:hAnsi="Tahoma" w:cs="Tahoma"/>
        </w:rPr>
        <w:t xml:space="preserve"> </w:t>
      </w:r>
      <w:r w:rsidR="007F3BB1">
        <w:rPr>
          <w:rFonts w:ascii="Tahoma" w:hAnsi="Tahoma" w:cs="Tahoma"/>
        </w:rPr>
        <w:t xml:space="preserve"> - </w:t>
      </w:r>
      <w:r w:rsidR="007F3BB1" w:rsidRPr="007F3BB1">
        <w:rPr>
          <w:rFonts w:ascii="Tahoma" w:hAnsi="Tahoma" w:cs="Tahoma"/>
          <w:b/>
          <w:bCs/>
        </w:rPr>
        <w:t>whistleblowing</w:t>
      </w:r>
    </w:p>
    <w:p w:rsidR="00CC7B4D" w:rsidRDefault="007F3BB1">
      <w:pPr>
        <w:spacing w:after="0"/>
        <w:jc w:val="both"/>
      </w:pPr>
      <w:r>
        <w:rPr>
          <w:rFonts w:ascii="Tahoma" w:hAnsi="Tahoma" w:cs="Tahoma"/>
        </w:rPr>
        <w:t>Con l’approvazione della legge 30/11/2017 n. 179 cosiddetto whistleblowing che entrerà in vigore il 29 dicembre il dipendente che segnala</w:t>
      </w:r>
      <w:r w:rsidR="00CC7B4D">
        <w:rPr>
          <w:rFonts w:ascii="Tahoma" w:hAnsi="Tahoma" w:cs="Tahoma"/>
        </w:rPr>
        <w:t xml:space="preserve"> condotte che presume illecite di cui sia venuto a conoscenza in ragione del rapporto di lavoro, non può essere sanzionato, licenziato o sottoposto </w:t>
      </w:r>
      <w:r w:rsidR="00CC7B4D">
        <w:rPr>
          <w:rFonts w:ascii="Tahoma" w:hAnsi="Tahoma" w:cs="Tahoma"/>
        </w:rPr>
        <w:lastRenderedPageBreak/>
        <w:t>ad una qualsiasi misura discriminatoria – diretta o indiretta – avente effetti sulle condizioni di lavoro per motivi collegati direttamente o indirettamente alla propria denuncia.</w:t>
      </w:r>
    </w:p>
    <w:p w:rsidR="00CC7B4D" w:rsidRDefault="00CC7B4D">
      <w:pPr>
        <w:spacing w:after="0"/>
        <w:jc w:val="both"/>
        <w:rPr>
          <w:rFonts w:ascii="Tahoma" w:hAnsi="Tahoma" w:cs="Tahoma"/>
        </w:rPr>
      </w:pPr>
    </w:p>
    <w:p w:rsidR="00CC7B4D" w:rsidRDefault="00CC7B4D">
      <w:pPr>
        <w:spacing w:after="0"/>
      </w:pPr>
      <w:r>
        <w:rPr>
          <w:rFonts w:ascii="Tahoma" w:hAnsi="Tahoma" w:cs="Tahoma"/>
          <w:b/>
          <w:bCs/>
        </w:rPr>
        <w:t>Obiettivi in materia di trasparenza</w:t>
      </w:r>
    </w:p>
    <w:p w:rsidR="00CC7B4D" w:rsidRDefault="00CC7B4D">
      <w:pPr>
        <w:spacing w:after="0"/>
      </w:pPr>
      <w:r>
        <w:rPr>
          <w:rFonts w:ascii="Tahoma" w:hAnsi="Tahoma" w:cs="Tahoma"/>
        </w:rPr>
        <w:t>Gli obiettivi di trasparenza che si intendono raggiungere nel triennio 2018 – 2020 sono i seguenti:</w:t>
      </w:r>
    </w:p>
    <w:p w:rsidR="00CC7B4D" w:rsidRDefault="00CC7B4D">
      <w:pPr>
        <w:numPr>
          <w:ilvl w:val="0"/>
          <w:numId w:val="12"/>
        </w:numPr>
        <w:spacing w:after="0"/>
        <w:jc w:val="both"/>
      </w:pPr>
      <w:r>
        <w:rPr>
          <w:rFonts w:ascii="Tahoma" w:hAnsi="Tahoma" w:cs="Tahoma"/>
        </w:rPr>
        <w:t xml:space="preserve">garantire l’adempimento degli obblighi derivati dalla normativa attraverso l’allineamento della sezione Amministrazione Trasparente alle modifiche previste dal D. Lgs. 33/2013, come novellato dal D. Lgs. 97/2016 (dopo l’emanazione, da parte di ANAC, delle nuove linee guida per l’adempimento degli obblighi di trasparenza da parte delle società controllate dalla pubblica amministrazione); </w:t>
      </w:r>
    </w:p>
    <w:p w:rsidR="00CC7B4D" w:rsidRDefault="00CC7B4D">
      <w:pPr>
        <w:numPr>
          <w:ilvl w:val="0"/>
          <w:numId w:val="12"/>
        </w:numPr>
        <w:spacing w:after="0"/>
        <w:jc w:val="both"/>
      </w:pPr>
      <w:r>
        <w:rPr>
          <w:rFonts w:ascii="Tahoma" w:hAnsi="Tahoma" w:cs="Tahoma"/>
        </w:rPr>
        <w:t>garantire la massima fruibilità dei dati e trasparenza nella pubblicazione all’interno della sezione “Amministrazione Trasparente” del sito;</w:t>
      </w:r>
    </w:p>
    <w:p w:rsidR="00CC7B4D" w:rsidRDefault="00CC7B4D">
      <w:pPr>
        <w:numPr>
          <w:ilvl w:val="0"/>
          <w:numId w:val="12"/>
        </w:numPr>
        <w:spacing w:after="0"/>
        <w:jc w:val="both"/>
      </w:pPr>
      <w:r>
        <w:rPr>
          <w:rFonts w:ascii="Tahoma" w:hAnsi="Tahoma" w:cs="Tahoma"/>
        </w:rPr>
        <w:t>promuovere l’accesso civico e l’acceso generalizzato ai dati e ai documenti e alle informazioni;</w:t>
      </w:r>
    </w:p>
    <w:p w:rsidR="00CC7B4D" w:rsidRDefault="00CC7B4D">
      <w:pPr>
        <w:numPr>
          <w:ilvl w:val="0"/>
          <w:numId w:val="12"/>
        </w:numPr>
        <w:spacing w:after="0"/>
        <w:jc w:val="both"/>
      </w:pPr>
      <w:r>
        <w:rPr>
          <w:rFonts w:ascii="Tahoma" w:eastAsia="Times New Roman" w:hAnsi="Tahoma" w:cs="Tahoma"/>
        </w:rPr>
        <w:t>predisporre la formazione sui temi del PNA 2016 e del PTPCT 2017, per tutte le strutture dell’area amministrativa e tecnica nel corso del 2018.</w:t>
      </w:r>
    </w:p>
    <w:p w:rsidR="00CC7B4D" w:rsidRDefault="00CC7B4D">
      <w:pPr>
        <w:spacing w:after="0"/>
        <w:jc w:val="both"/>
        <w:rPr>
          <w:rFonts w:ascii="Tahoma" w:hAnsi="Tahoma" w:cs="Tahoma"/>
          <w:b/>
        </w:rPr>
      </w:pPr>
    </w:p>
    <w:p w:rsidR="00CC7B4D" w:rsidRDefault="00CC7B4D">
      <w:pPr>
        <w:spacing w:after="0"/>
        <w:jc w:val="both"/>
        <w:rPr>
          <w:rFonts w:ascii="Tahoma" w:hAnsi="Tahoma" w:cs="Tahoma"/>
          <w:b/>
        </w:rPr>
      </w:pPr>
    </w:p>
    <w:p w:rsidR="00CC7B4D" w:rsidRDefault="00CC7B4D">
      <w:pPr>
        <w:spacing w:after="0"/>
        <w:jc w:val="both"/>
        <w:rPr>
          <w:rFonts w:ascii="Tahoma" w:hAnsi="Tahoma" w:cs="Tahoma"/>
          <w:b/>
        </w:rPr>
      </w:pPr>
    </w:p>
    <w:p w:rsidR="00CC7B4D" w:rsidRDefault="00CC7B4D">
      <w:pPr>
        <w:spacing w:after="0"/>
        <w:jc w:val="both"/>
        <w:rPr>
          <w:rFonts w:ascii="Tahoma" w:hAnsi="Tahoma" w:cs="Tahoma"/>
          <w:b/>
        </w:rPr>
      </w:pPr>
    </w:p>
    <w:p w:rsidR="00CC7B4D" w:rsidRDefault="00CC7B4D">
      <w:pPr>
        <w:spacing w:after="0"/>
        <w:jc w:val="both"/>
        <w:rPr>
          <w:rFonts w:ascii="Tahoma" w:hAnsi="Tahoma" w:cs="Tahoma"/>
          <w:b/>
        </w:rPr>
      </w:pPr>
    </w:p>
    <w:p w:rsidR="00BA074A" w:rsidRDefault="00BA074A">
      <w:pPr>
        <w:spacing w:after="0"/>
        <w:jc w:val="both"/>
        <w:rPr>
          <w:rFonts w:ascii="Tahoma" w:hAnsi="Tahoma" w:cs="Tahoma"/>
          <w:b/>
        </w:rPr>
      </w:pPr>
    </w:p>
    <w:p w:rsidR="00BA074A" w:rsidRDefault="00BA074A">
      <w:pPr>
        <w:spacing w:after="0"/>
        <w:jc w:val="both"/>
        <w:rPr>
          <w:rFonts w:ascii="Tahoma" w:hAnsi="Tahoma" w:cs="Tahoma"/>
          <w:b/>
        </w:rPr>
      </w:pPr>
    </w:p>
    <w:p w:rsidR="00BA074A" w:rsidRDefault="00BA074A">
      <w:pPr>
        <w:spacing w:after="0"/>
        <w:jc w:val="both"/>
        <w:rPr>
          <w:rFonts w:ascii="Tahoma" w:hAnsi="Tahoma" w:cs="Tahoma"/>
          <w:b/>
        </w:rPr>
      </w:pPr>
    </w:p>
    <w:p w:rsidR="00BA074A" w:rsidRDefault="00BA074A">
      <w:pPr>
        <w:spacing w:after="0"/>
        <w:jc w:val="both"/>
        <w:rPr>
          <w:rFonts w:ascii="Tahoma" w:hAnsi="Tahoma" w:cs="Tahoma"/>
          <w:b/>
        </w:rPr>
      </w:pPr>
    </w:p>
    <w:p w:rsidR="00BA074A" w:rsidRDefault="00BA074A">
      <w:pPr>
        <w:spacing w:after="0"/>
        <w:jc w:val="both"/>
        <w:rPr>
          <w:rFonts w:ascii="Tahoma" w:hAnsi="Tahoma" w:cs="Tahoma"/>
          <w:b/>
        </w:rPr>
      </w:pPr>
    </w:p>
    <w:p w:rsidR="00BA074A" w:rsidRDefault="00BA074A">
      <w:pPr>
        <w:spacing w:after="0"/>
        <w:jc w:val="both"/>
        <w:rPr>
          <w:rFonts w:ascii="Tahoma" w:hAnsi="Tahoma" w:cs="Tahoma"/>
          <w:b/>
        </w:rPr>
      </w:pPr>
    </w:p>
    <w:p w:rsidR="00BA074A" w:rsidRDefault="00BA074A">
      <w:pPr>
        <w:spacing w:after="0"/>
        <w:jc w:val="both"/>
        <w:rPr>
          <w:rFonts w:ascii="Tahoma" w:hAnsi="Tahoma" w:cs="Tahoma"/>
          <w:b/>
        </w:rPr>
      </w:pPr>
    </w:p>
    <w:p w:rsidR="00BA074A" w:rsidRDefault="00BA074A">
      <w:pPr>
        <w:spacing w:after="0"/>
        <w:jc w:val="both"/>
        <w:rPr>
          <w:rFonts w:ascii="Tahoma" w:hAnsi="Tahoma" w:cs="Tahoma"/>
          <w:b/>
        </w:rPr>
      </w:pPr>
    </w:p>
    <w:p w:rsidR="00BA074A" w:rsidRDefault="00BA074A">
      <w:pPr>
        <w:spacing w:after="0"/>
        <w:jc w:val="both"/>
        <w:rPr>
          <w:rFonts w:ascii="Tahoma" w:hAnsi="Tahoma" w:cs="Tahoma"/>
          <w:b/>
        </w:rPr>
      </w:pPr>
    </w:p>
    <w:p w:rsidR="00BA074A" w:rsidRDefault="00BA074A">
      <w:pPr>
        <w:spacing w:after="0"/>
        <w:jc w:val="both"/>
        <w:rPr>
          <w:rFonts w:ascii="Tahoma" w:hAnsi="Tahoma" w:cs="Tahoma"/>
          <w:b/>
        </w:rPr>
      </w:pPr>
    </w:p>
    <w:p w:rsidR="00BA074A" w:rsidRDefault="00BA074A">
      <w:pPr>
        <w:spacing w:after="0"/>
        <w:jc w:val="both"/>
        <w:rPr>
          <w:rFonts w:ascii="Tahoma" w:hAnsi="Tahoma" w:cs="Tahoma"/>
          <w:b/>
        </w:rPr>
      </w:pPr>
    </w:p>
    <w:p w:rsidR="00BA074A" w:rsidRDefault="00BA074A">
      <w:pPr>
        <w:spacing w:after="0"/>
        <w:jc w:val="both"/>
        <w:rPr>
          <w:rFonts w:ascii="Tahoma" w:hAnsi="Tahoma" w:cs="Tahoma"/>
          <w:b/>
        </w:rPr>
      </w:pPr>
    </w:p>
    <w:p w:rsidR="00BA074A" w:rsidRDefault="00BA074A">
      <w:pPr>
        <w:spacing w:after="0"/>
        <w:jc w:val="both"/>
        <w:rPr>
          <w:rFonts w:ascii="Tahoma" w:hAnsi="Tahoma" w:cs="Tahoma"/>
          <w:b/>
        </w:rPr>
      </w:pPr>
    </w:p>
    <w:p w:rsidR="00BA074A" w:rsidRDefault="00BA074A">
      <w:pPr>
        <w:spacing w:after="0"/>
        <w:jc w:val="both"/>
        <w:rPr>
          <w:rFonts w:ascii="Tahoma" w:hAnsi="Tahoma" w:cs="Tahoma"/>
          <w:b/>
        </w:rPr>
      </w:pPr>
    </w:p>
    <w:p w:rsidR="00BA074A" w:rsidRDefault="00BA074A">
      <w:pPr>
        <w:spacing w:after="0"/>
        <w:jc w:val="both"/>
        <w:rPr>
          <w:rFonts w:ascii="Tahoma" w:hAnsi="Tahoma" w:cs="Tahoma"/>
          <w:b/>
        </w:rPr>
      </w:pPr>
    </w:p>
    <w:p w:rsidR="00BA074A" w:rsidRDefault="00BA074A">
      <w:pPr>
        <w:spacing w:after="0"/>
        <w:jc w:val="both"/>
        <w:rPr>
          <w:rFonts w:ascii="Tahoma" w:hAnsi="Tahoma" w:cs="Tahoma"/>
          <w:b/>
        </w:rPr>
      </w:pPr>
    </w:p>
    <w:p w:rsidR="00BA074A" w:rsidRDefault="00BA074A">
      <w:pPr>
        <w:spacing w:after="0"/>
        <w:jc w:val="both"/>
        <w:rPr>
          <w:rFonts w:ascii="Tahoma" w:hAnsi="Tahoma" w:cs="Tahoma"/>
          <w:b/>
        </w:rPr>
      </w:pPr>
    </w:p>
    <w:p w:rsidR="00BA074A" w:rsidRDefault="00BA074A">
      <w:pPr>
        <w:spacing w:after="0"/>
        <w:jc w:val="both"/>
        <w:rPr>
          <w:rFonts w:ascii="Tahoma" w:hAnsi="Tahoma" w:cs="Tahoma"/>
          <w:b/>
        </w:rPr>
      </w:pPr>
    </w:p>
    <w:p w:rsidR="00BA074A" w:rsidRDefault="00BA074A">
      <w:pPr>
        <w:spacing w:after="0"/>
        <w:jc w:val="both"/>
        <w:rPr>
          <w:rFonts w:ascii="Tahoma" w:hAnsi="Tahoma" w:cs="Tahoma"/>
          <w:b/>
        </w:rPr>
      </w:pPr>
    </w:p>
    <w:p w:rsidR="00BA074A" w:rsidRDefault="00BA074A">
      <w:pPr>
        <w:spacing w:after="0"/>
        <w:jc w:val="both"/>
        <w:rPr>
          <w:rFonts w:ascii="Tahoma" w:hAnsi="Tahoma" w:cs="Tahoma"/>
          <w:b/>
        </w:rPr>
      </w:pPr>
    </w:p>
    <w:p w:rsidR="00BA074A" w:rsidRDefault="00BA074A">
      <w:pPr>
        <w:spacing w:after="0"/>
        <w:jc w:val="both"/>
        <w:rPr>
          <w:rFonts w:ascii="Tahoma" w:hAnsi="Tahoma" w:cs="Tahoma"/>
          <w:b/>
        </w:rPr>
      </w:pPr>
    </w:p>
    <w:p w:rsidR="00BA074A" w:rsidRDefault="00BA074A">
      <w:pPr>
        <w:spacing w:after="0"/>
        <w:jc w:val="both"/>
        <w:rPr>
          <w:rFonts w:ascii="Tahoma" w:hAnsi="Tahoma" w:cs="Tahoma"/>
          <w:b/>
        </w:rPr>
      </w:pPr>
    </w:p>
    <w:p w:rsidR="00BA074A" w:rsidRDefault="00BA074A">
      <w:pPr>
        <w:spacing w:after="0"/>
        <w:jc w:val="both"/>
        <w:rPr>
          <w:rFonts w:ascii="Tahoma" w:hAnsi="Tahoma" w:cs="Tahoma"/>
          <w:b/>
        </w:rPr>
      </w:pPr>
    </w:p>
    <w:p w:rsidR="00BA074A" w:rsidRDefault="00BA074A">
      <w:pPr>
        <w:spacing w:after="0"/>
        <w:jc w:val="both"/>
        <w:rPr>
          <w:rFonts w:ascii="Tahoma" w:hAnsi="Tahoma" w:cs="Tahoma"/>
          <w:b/>
        </w:rPr>
      </w:pPr>
    </w:p>
    <w:p w:rsidR="00BA074A" w:rsidRDefault="00BA074A">
      <w:pPr>
        <w:spacing w:after="0"/>
        <w:jc w:val="both"/>
        <w:rPr>
          <w:rFonts w:ascii="Tahoma" w:hAnsi="Tahoma" w:cs="Tahoma"/>
          <w:b/>
        </w:rPr>
      </w:pPr>
    </w:p>
    <w:p w:rsidR="00BA074A" w:rsidRDefault="00BA074A">
      <w:pPr>
        <w:spacing w:after="0"/>
        <w:jc w:val="both"/>
        <w:rPr>
          <w:rFonts w:ascii="Tahoma" w:hAnsi="Tahoma" w:cs="Tahoma"/>
          <w:b/>
        </w:rPr>
      </w:pPr>
    </w:p>
    <w:p w:rsidR="00CC7B4D" w:rsidRDefault="00CC7B4D">
      <w:pPr>
        <w:spacing w:after="0"/>
        <w:jc w:val="both"/>
      </w:pPr>
      <w:r>
        <w:rPr>
          <w:rFonts w:ascii="Tahoma" w:hAnsi="Tahoma" w:cs="Tahoma"/>
          <w:b/>
        </w:rPr>
        <w:lastRenderedPageBreak/>
        <w:t>Pianificazione triennale</w:t>
      </w:r>
    </w:p>
    <w:tbl>
      <w:tblPr>
        <w:tblW w:w="0" w:type="auto"/>
        <w:tblInd w:w="-5" w:type="dxa"/>
        <w:tblLayout w:type="fixed"/>
        <w:tblLook w:val="0000"/>
      </w:tblPr>
      <w:tblGrid>
        <w:gridCol w:w="3261"/>
        <w:gridCol w:w="3262"/>
        <w:gridCol w:w="3272"/>
      </w:tblGrid>
      <w:tr w:rsidR="00CC7B4D" w:rsidTr="000E0A04">
        <w:trPr>
          <w:trHeight w:val="397"/>
        </w:trPr>
        <w:tc>
          <w:tcPr>
            <w:tcW w:w="9795" w:type="dxa"/>
            <w:gridSpan w:val="3"/>
            <w:tcBorders>
              <w:top w:val="single" w:sz="4" w:space="0" w:color="000000"/>
              <w:left w:val="single" w:sz="4" w:space="0" w:color="000000"/>
              <w:bottom w:val="single" w:sz="4" w:space="0" w:color="000000"/>
              <w:right w:val="single" w:sz="4" w:space="0" w:color="000000"/>
            </w:tcBorders>
            <w:shd w:val="clear" w:color="auto" w:fill="92D050"/>
            <w:vAlign w:val="center"/>
          </w:tcPr>
          <w:p w:rsidR="00CC7B4D" w:rsidRDefault="00CC7B4D" w:rsidP="00E00CB0">
            <w:pPr>
              <w:spacing w:after="0" w:line="240" w:lineRule="auto"/>
              <w:jc w:val="center"/>
            </w:pPr>
            <w:r>
              <w:rPr>
                <w:rFonts w:ascii="Tahoma" w:hAnsi="Tahoma" w:cs="Tahoma"/>
                <w:b/>
              </w:rPr>
              <w:t>Anno 202</w:t>
            </w:r>
            <w:r w:rsidR="00E00CB0">
              <w:rPr>
                <w:rFonts w:ascii="Tahoma" w:hAnsi="Tahoma" w:cs="Tahoma"/>
                <w:b/>
              </w:rPr>
              <w:t>4</w:t>
            </w:r>
          </w:p>
        </w:tc>
      </w:tr>
      <w:tr w:rsidR="00CC7B4D">
        <w:trPr>
          <w:trHeight w:val="397"/>
        </w:trPr>
        <w:tc>
          <w:tcPr>
            <w:tcW w:w="3261" w:type="dxa"/>
            <w:tcBorders>
              <w:top w:val="single" w:sz="4" w:space="0" w:color="000000"/>
              <w:left w:val="single" w:sz="4" w:space="0" w:color="000000"/>
              <w:bottom w:val="single" w:sz="4" w:space="0" w:color="000000"/>
            </w:tcBorders>
            <w:shd w:val="clear" w:color="auto" w:fill="auto"/>
            <w:vAlign w:val="center"/>
          </w:tcPr>
          <w:p w:rsidR="00CC7B4D" w:rsidRDefault="00CC7B4D">
            <w:pPr>
              <w:spacing w:after="0" w:line="240" w:lineRule="auto"/>
              <w:jc w:val="center"/>
            </w:pPr>
            <w:r>
              <w:rPr>
                <w:rFonts w:ascii="Tahoma" w:hAnsi="Tahoma" w:cs="Tahoma"/>
                <w:b/>
              </w:rPr>
              <w:t>Competenza</w:t>
            </w:r>
          </w:p>
        </w:tc>
        <w:tc>
          <w:tcPr>
            <w:tcW w:w="3262" w:type="dxa"/>
            <w:tcBorders>
              <w:top w:val="single" w:sz="4" w:space="0" w:color="000000"/>
              <w:left w:val="single" w:sz="4" w:space="0" w:color="000000"/>
              <w:bottom w:val="single" w:sz="4" w:space="0" w:color="000000"/>
            </w:tcBorders>
            <w:shd w:val="clear" w:color="auto" w:fill="auto"/>
            <w:vAlign w:val="center"/>
          </w:tcPr>
          <w:p w:rsidR="00CC7B4D" w:rsidRDefault="00CC7B4D">
            <w:pPr>
              <w:spacing w:after="0" w:line="240" w:lineRule="auto"/>
              <w:jc w:val="center"/>
            </w:pPr>
            <w:r>
              <w:rPr>
                <w:rFonts w:ascii="Tahoma" w:hAnsi="Tahoma" w:cs="Tahoma"/>
                <w:b/>
              </w:rPr>
              <w:t>Data/periodicità</w:t>
            </w:r>
          </w:p>
        </w:tc>
        <w:tc>
          <w:tcPr>
            <w:tcW w:w="3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7B4D" w:rsidRDefault="00CC7B4D">
            <w:pPr>
              <w:spacing w:after="0" w:line="240" w:lineRule="auto"/>
              <w:ind w:left="100"/>
              <w:jc w:val="center"/>
            </w:pPr>
            <w:r>
              <w:rPr>
                <w:rFonts w:ascii="Tahoma" w:eastAsia="Times New Roman" w:hAnsi="Tahoma" w:cs="Tahoma"/>
                <w:b/>
              </w:rPr>
              <w:t>Attività</w:t>
            </w:r>
          </w:p>
        </w:tc>
      </w:tr>
      <w:tr w:rsidR="00CC7B4D">
        <w:trPr>
          <w:trHeight w:val="680"/>
        </w:trPr>
        <w:tc>
          <w:tcPr>
            <w:tcW w:w="3261" w:type="dxa"/>
            <w:tcBorders>
              <w:top w:val="single" w:sz="4" w:space="0" w:color="000000"/>
              <w:left w:val="single" w:sz="4" w:space="0" w:color="000000"/>
              <w:bottom w:val="single" w:sz="4" w:space="0" w:color="000000"/>
            </w:tcBorders>
            <w:shd w:val="clear" w:color="auto" w:fill="auto"/>
            <w:vAlign w:val="center"/>
          </w:tcPr>
          <w:p w:rsidR="00CC7B4D" w:rsidRDefault="00CC7B4D">
            <w:pPr>
              <w:spacing w:after="0" w:line="240" w:lineRule="auto"/>
            </w:pPr>
            <w:r>
              <w:rPr>
                <w:rFonts w:ascii="Tahoma" w:hAnsi="Tahoma" w:cs="Tahoma"/>
                <w:sz w:val="20"/>
              </w:rPr>
              <w:t>Amministratore Unico</w:t>
            </w:r>
          </w:p>
        </w:tc>
        <w:tc>
          <w:tcPr>
            <w:tcW w:w="3262" w:type="dxa"/>
            <w:tcBorders>
              <w:top w:val="single" w:sz="4" w:space="0" w:color="000000"/>
              <w:left w:val="single" w:sz="4" w:space="0" w:color="000000"/>
              <w:bottom w:val="single" w:sz="4" w:space="0" w:color="000000"/>
            </w:tcBorders>
            <w:shd w:val="clear" w:color="auto" w:fill="auto"/>
            <w:vAlign w:val="center"/>
          </w:tcPr>
          <w:p w:rsidR="00CC7B4D" w:rsidRDefault="00CC7B4D" w:rsidP="00E00CB0">
            <w:pPr>
              <w:spacing w:after="0" w:line="240" w:lineRule="auto"/>
              <w:jc w:val="center"/>
            </w:pPr>
            <w:r>
              <w:rPr>
                <w:rFonts w:ascii="Tahoma" w:hAnsi="Tahoma" w:cs="Tahoma"/>
                <w:sz w:val="20"/>
              </w:rPr>
              <w:t>31 Gennaio 202</w:t>
            </w:r>
            <w:r w:rsidR="00E00CB0">
              <w:rPr>
                <w:rFonts w:ascii="Tahoma" w:hAnsi="Tahoma" w:cs="Tahoma"/>
                <w:sz w:val="20"/>
              </w:rPr>
              <w:t>4</w:t>
            </w:r>
          </w:p>
        </w:tc>
        <w:tc>
          <w:tcPr>
            <w:tcW w:w="3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7B4D" w:rsidRDefault="00CC7B4D">
            <w:pPr>
              <w:spacing w:after="0" w:line="240" w:lineRule="auto"/>
            </w:pPr>
            <w:r>
              <w:rPr>
                <w:rFonts w:ascii="Tahoma" w:hAnsi="Tahoma" w:cs="Tahoma"/>
                <w:sz w:val="20"/>
              </w:rPr>
              <w:t>Approvazione del Piano Triennale della prevenzione della corruzione</w:t>
            </w:r>
          </w:p>
        </w:tc>
      </w:tr>
      <w:tr w:rsidR="00CC7B4D">
        <w:trPr>
          <w:trHeight w:val="680"/>
        </w:trPr>
        <w:tc>
          <w:tcPr>
            <w:tcW w:w="3261" w:type="dxa"/>
            <w:tcBorders>
              <w:top w:val="single" w:sz="4" w:space="0" w:color="000000"/>
              <w:left w:val="single" w:sz="4" w:space="0" w:color="000000"/>
              <w:bottom w:val="single" w:sz="4" w:space="0" w:color="000000"/>
            </w:tcBorders>
            <w:shd w:val="clear" w:color="auto" w:fill="auto"/>
            <w:vAlign w:val="center"/>
          </w:tcPr>
          <w:p w:rsidR="00CC7B4D" w:rsidRDefault="00CC7B4D">
            <w:pPr>
              <w:spacing w:after="0" w:line="240" w:lineRule="auto"/>
            </w:pPr>
            <w:r>
              <w:rPr>
                <w:rFonts w:ascii="Tahoma" w:hAnsi="Tahoma" w:cs="Tahoma"/>
                <w:sz w:val="20"/>
              </w:rPr>
              <w:t>Responsabile della Prevenzione della corruzione</w:t>
            </w:r>
          </w:p>
        </w:tc>
        <w:tc>
          <w:tcPr>
            <w:tcW w:w="3262" w:type="dxa"/>
            <w:tcBorders>
              <w:top w:val="single" w:sz="4" w:space="0" w:color="000000"/>
              <w:left w:val="single" w:sz="4" w:space="0" w:color="000000"/>
              <w:bottom w:val="single" w:sz="4" w:space="0" w:color="000000"/>
            </w:tcBorders>
            <w:shd w:val="clear" w:color="auto" w:fill="auto"/>
            <w:vAlign w:val="center"/>
          </w:tcPr>
          <w:p w:rsidR="00CC7B4D" w:rsidRDefault="00CC7B4D" w:rsidP="00E00CB0">
            <w:pPr>
              <w:spacing w:after="0" w:line="240" w:lineRule="auto"/>
              <w:jc w:val="center"/>
            </w:pPr>
            <w:r>
              <w:rPr>
                <w:rFonts w:ascii="Tahoma" w:hAnsi="Tahoma" w:cs="Tahoma"/>
                <w:sz w:val="20"/>
              </w:rPr>
              <w:t>Entro Marzo 202</w:t>
            </w:r>
            <w:r w:rsidR="00E00CB0">
              <w:rPr>
                <w:rFonts w:ascii="Tahoma" w:hAnsi="Tahoma" w:cs="Tahoma"/>
                <w:sz w:val="20"/>
              </w:rPr>
              <w:t>4</w:t>
            </w:r>
          </w:p>
        </w:tc>
        <w:tc>
          <w:tcPr>
            <w:tcW w:w="3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7B4D" w:rsidRDefault="00CC7B4D" w:rsidP="00A36A14">
            <w:pPr>
              <w:spacing w:after="0" w:line="240" w:lineRule="auto"/>
            </w:pPr>
            <w:r>
              <w:rPr>
                <w:rFonts w:ascii="Tahoma" w:hAnsi="Tahoma" w:cs="Tahoma"/>
                <w:sz w:val="20"/>
              </w:rPr>
              <w:t>Avvio del programma di formazione per l’anno 202</w:t>
            </w:r>
            <w:r w:rsidR="000536AB">
              <w:rPr>
                <w:rFonts w:ascii="Tahoma" w:hAnsi="Tahoma" w:cs="Tahoma"/>
                <w:sz w:val="20"/>
              </w:rPr>
              <w:t>3</w:t>
            </w:r>
          </w:p>
        </w:tc>
      </w:tr>
      <w:tr w:rsidR="00CC7B4D">
        <w:trPr>
          <w:trHeight w:val="680"/>
        </w:trPr>
        <w:tc>
          <w:tcPr>
            <w:tcW w:w="3261" w:type="dxa"/>
            <w:tcBorders>
              <w:top w:val="single" w:sz="4" w:space="0" w:color="000000"/>
              <w:left w:val="single" w:sz="4" w:space="0" w:color="000000"/>
              <w:bottom w:val="single" w:sz="4" w:space="0" w:color="000000"/>
            </w:tcBorders>
            <w:shd w:val="clear" w:color="auto" w:fill="auto"/>
            <w:vAlign w:val="center"/>
          </w:tcPr>
          <w:p w:rsidR="00CC7B4D" w:rsidRDefault="00CC7B4D">
            <w:pPr>
              <w:spacing w:after="0" w:line="240" w:lineRule="auto"/>
            </w:pPr>
            <w:r>
              <w:rPr>
                <w:rFonts w:ascii="Tahoma" w:hAnsi="Tahoma" w:cs="Tahoma"/>
                <w:sz w:val="20"/>
              </w:rPr>
              <w:t>Direttore Amministrativo</w:t>
            </w:r>
          </w:p>
        </w:tc>
        <w:tc>
          <w:tcPr>
            <w:tcW w:w="3262" w:type="dxa"/>
            <w:tcBorders>
              <w:top w:val="single" w:sz="4" w:space="0" w:color="000000"/>
              <w:left w:val="single" w:sz="4" w:space="0" w:color="000000"/>
              <w:bottom w:val="single" w:sz="4" w:space="0" w:color="000000"/>
            </w:tcBorders>
            <w:shd w:val="clear" w:color="auto" w:fill="auto"/>
            <w:vAlign w:val="center"/>
          </w:tcPr>
          <w:p w:rsidR="00CC7B4D" w:rsidRDefault="00CC7B4D">
            <w:pPr>
              <w:spacing w:after="0" w:line="240" w:lineRule="auto"/>
              <w:jc w:val="center"/>
            </w:pPr>
            <w:r>
              <w:rPr>
                <w:rFonts w:ascii="Tahoma" w:hAnsi="Tahoma" w:cs="Tahoma"/>
                <w:sz w:val="20"/>
              </w:rPr>
              <w:t>Semestrale</w:t>
            </w:r>
          </w:p>
        </w:tc>
        <w:tc>
          <w:tcPr>
            <w:tcW w:w="3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7B4D" w:rsidRDefault="00CC7B4D">
            <w:pPr>
              <w:spacing w:after="0" w:line="240" w:lineRule="auto"/>
            </w:pPr>
            <w:r>
              <w:rPr>
                <w:rFonts w:ascii="Tahoma" w:hAnsi="Tahoma" w:cs="Tahoma"/>
                <w:sz w:val="20"/>
              </w:rPr>
              <w:t>Obbligo di informazione con relazione scritta al Responsabile della prevenzione della corruzione</w:t>
            </w:r>
          </w:p>
        </w:tc>
      </w:tr>
      <w:tr w:rsidR="00CC7B4D">
        <w:trPr>
          <w:trHeight w:val="680"/>
        </w:trPr>
        <w:tc>
          <w:tcPr>
            <w:tcW w:w="3261" w:type="dxa"/>
            <w:tcBorders>
              <w:top w:val="single" w:sz="4" w:space="0" w:color="000000"/>
              <w:left w:val="single" w:sz="4" w:space="0" w:color="000000"/>
              <w:bottom w:val="single" w:sz="4" w:space="0" w:color="000000"/>
            </w:tcBorders>
            <w:shd w:val="clear" w:color="auto" w:fill="auto"/>
            <w:vAlign w:val="center"/>
          </w:tcPr>
          <w:p w:rsidR="00CC7B4D" w:rsidRDefault="00CC7B4D">
            <w:pPr>
              <w:spacing w:after="0" w:line="240" w:lineRule="auto"/>
            </w:pPr>
            <w:r>
              <w:rPr>
                <w:rFonts w:ascii="Tahoma" w:hAnsi="Tahoma" w:cs="Tahoma"/>
                <w:sz w:val="20"/>
              </w:rPr>
              <w:t>Responsabile della Prevenzione della corruzione</w:t>
            </w:r>
          </w:p>
        </w:tc>
        <w:tc>
          <w:tcPr>
            <w:tcW w:w="3262" w:type="dxa"/>
            <w:tcBorders>
              <w:top w:val="single" w:sz="4" w:space="0" w:color="000000"/>
              <w:left w:val="single" w:sz="4" w:space="0" w:color="000000"/>
              <w:bottom w:val="single" w:sz="4" w:space="0" w:color="000000"/>
            </w:tcBorders>
            <w:shd w:val="clear" w:color="auto" w:fill="auto"/>
            <w:vAlign w:val="center"/>
          </w:tcPr>
          <w:p w:rsidR="00CC7B4D" w:rsidRDefault="00CC7B4D" w:rsidP="00E00CB0">
            <w:pPr>
              <w:spacing w:after="0" w:line="240" w:lineRule="auto"/>
              <w:jc w:val="center"/>
            </w:pPr>
            <w:r>
              <w:rPr>
                <w:rFonts w:ascii="Tahoma" w:hAnsi="Tahoma" w:cs="Tahoma"/>
                <w:sz w:val="20"/>
              </w:rPr>
              <w:t xml:space="preserve">31 </w:t>
            </w:r>
            <w:r w:rsidR="00A36A14">
              <w:rPr>
                <w:rFonts w:ascii="Tahoma" w:hAnsi="Tahoma" w:cs="Tahoma"/>
                <w:sz w:val="20"/>
              </w:rPr>
              <w:t>Gennaio 202</w:t>
            </w:r>
            <w:r w:rsidR="00E00CB0">
              <w:rPr>
                <w:rFonts w:ascii="Tahoma" w:hAnsi="Tahoma" w:cs="Tahoma"/>
                <w:sz w:val="20"/>
              </w:rPr>
              <w:t>4</w:t>
            </w:r>
          </w:p>
        </w:tc>
        <w:tc>
          <w:tcPr>
            <w:tcW w:w="3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7B4D" w:rsidRDefault="00CC7B4D">
            <w:pPr>
              <w:spacing w:after="0" w:line="240" w:lineRule="auto"/>
            </w:pPr>
            <w:r>
              <w:rPr>
                <w:rFonts w:ascii="Tahoma" w:hAnsi="Tahoma" w:cs="Tahoma"/>
                <w:sz w:val="20"/>
              </w:rPr>
              <w:t>Relazione attività svolta da pubblicare sul sito internet</w:t>
            </w:r>
          </w:p>
        </w:tc>
      </w:tr>
      <w:tr w:rsidR="00CC7B4D">
        <w:trPr>
          <w:trHeight w:val="680"/>
        </w:trPr>
        <w:tc>
          <w:tcPr>
            <w:tcW w:w="3261" w:type="dxa"/>
            <w:tcBorders>
              <w:top w:val="single" w:sz="4" w:space="0" w:color="000000"/>
              <w:left w:val="single" w:sz="4" w:space="0" w:color="000000"/>
              <w:bottom w:val="single" w:sz="4" w:space="0" w:color="000000"/>
            </w:tcBorders>
            <w:shd w:val="clear" w:color="auto" w:fill="auto"/>
            <w:vAlign w:val="center"/>
          </w:tcPr>
          <w:p w:rsidR="00CC7B4D" w:rsidRDefault="00CC7B4D">
            <w:pPr>
              <w:spacing w:after="0" w:line="240" w:lineRule="auto"/>
            </w:pPr>
            <w:r>
              <w:rPr>
                <w:rFonts w:ascii="Tahoma" w:hAnsi="Tahoma" w:cs="Tahoma"/>
                <w:sz w:val="20"/>
              </w:rPr>
              <w:t>Responsabile della Prevenzione della corruzione</w:t>
            </w:r>
          </w:p>
        </w:tc>
        <w:tc>
          <w:tcPr>
            <w:tcW w:w="3262" w:type="dxa"/>
            <w:tcBorders>
              <w:top w:val="single" w:sz="4" w:space="0" w:color="000000"/>
              <w:left w:val="single" w:sz="4" w:space="0" w:color="000000"/>
              <w:bottom w:val="single" w:sz="4" w:space="0" w:color="000000"/>
            </w:tcBorders>
            <w:shd w:val="clear" w:color="auto" w:fill="auto"/>
            <w:vAlign w:val="center"/>
          </w:tcPr>
          <w:p w:rsidR="00CC7B4D" w:rsidRDefault="00CC7B4D">
            <w:pPr>
              <w:spacing w:after="0" w:line="240" w:lineRule="auto"/>
              <w:jc w:val="center"/>
            </w:pPr>
            <w:r>
              <w:rPr>
                <w:rFonts w:ascii="Tahoma" w:hAnsi="Tahoma" w:cs="Tahoma"/>
                <w:sz w:val="20"/>
              </w:rPr>
              <w:t>Annuale</w:t>
            </w:r>
          </w:p>
        </w:tc>
        <w:tc>
          <w:tcPr>
            <w:tcW w:w="3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7B4D" w:rsidRDefault="00CC7B4D">
            <w:pPr>
              <w:spacing w:after="0" w:line="240" w:lineRule="auto"/>
            </w:pPr>
            <w:r>
              <w:rPr>
                <w:rFonts w:ascii="Tahoma" w:hAnsi="Tahoma" w:cs="Tahoma"/>
                <w:sz w:val="20"/>
              </w:rPr>
              <w:t>Monitoraggio misure trattamento dei rischi</w:t>
            </w:r>
          </w:p>
        </w:tc>
      </w:tr>
    </w:tbl>
    <w:p w:rsidR="000E0A04" w:rsidRDefault="000E0A04">
      <w:pPr>
        <w:spacing w:after="0"/>
        <w:jc w:val="both"/>
        <w:rPr>
          <w:rFonts w:ascii="Tahoma" w:eastAsia="Times New Roman" w:hAnsi="Tahoma" w:cs="Tahoma"/>
        </w:rPr>
      </w:pPr>
    </w:p>
    <w:tbl>
      <w:tblPr>
        <w:tblW w:w="0" w:type="auto"/>
        <w:tblInd w:w="-5" w:type="dxa"/>
        <w:tblLayout w:type="fixed"/>
        <w:tblLook w:val="0000"/>
      </w:tblPr>
      <w:tblGrid>
        <w:gridCol w:w="3261"/>
        <w:gridCol w:w="3262"/>
        <w:gridCol w:w="3272"/>
      </w:tblGrid>
      <w:tr w:rsidR="000E0A04" w:rsidTr="000E0A04">
        <w:trPr>
          <w:trHeight w:val="397"/>
        </w:trPr>
        <w:tc>
          <w:tcPr>
            <w:tcW w:w="9795" w:type="dxa"/>
            <w:gridSpan w:val="3"/>
            <w:tcBorders>
              <w:top w:val="single" w:sz="4" w:space="0" w:color="000000"/>
              <w:left w:val="single" w:sz="4" w:space="0" w:color="000000"/>
              <w:bottom w:val="single" w:sz="4" w:space="0" w:color="000000"/>
              <w:right w:val="single" w:sz="4" w:space="0" w:color="000000"/>
            </w:tcBorders>
            <w:shd w:val="clear" w:color="auto" w:fill="FFFF00"/>
            <w:vAlign w:val="center"/>
          </w:tcPr>
          <w:p w:rsidR="000E0A04" w:rsidRDefault="000E0A04" w:rsidP="00E00CB0">
            <w:pPr>
              <w:spacing w:after="0" w:line="240" w:lineRule="auto"/>
              <w:jc w:val="center"/>
            </w:pPr>
            <w:r>
              <w:rPr>
                <w:rFonts w:ascii="Tahoma" w:hAnsi="Tahoma" w:cs="Tahoma"/>
                <w:b/>
              </w:rPr>
              <w:t>Anno 202</w:t>
            </w:r>
            <w:r w:rsidR="00E00CB0">
              <w:rPr>
                <w:rFonts w:ascii="Tahoma" w:hAnsi="Tahoma" w:cs="Tahoma"/>
                <w:b/>
              </w:rPr>
              <w:t>5</w:t>
            </w:r>
          </w:p>
        </w:tc>
      </w:tr>
      <w:tr w:rsidR="000E0A04" w:rsidTr="00411CF2">
        <w:trPr>
          <w:trHeight w:val="397"/>
        </w:trPr>
        <w:tc>
          <w:tcPr>
            <w:tcW w:w="3261" w:type="dxa"/>
            <w:tcBorders>
              <w:top w:val="single" w:sz="4" w:space="0" w:color="000000"/>
              <w:left w:val="single" w:sz="4" w:space="0" w:color="000000"/>
              <w:bottom w:val="single" w:sz="4" w:space="0" w:color="000000"/>
            </w:tcBorders>
            <w:shd w:val="clear" w:color="auto" w:fill="auto"/>
            <w:vAlign w:val="center"/>
          </w:tcPr>
          <w:p w:rsidR="000E0A04" w:rsidRDefault="000E0A04" w:rsidP="00411CF2">
            <w:pPr>
              <w:spacing w:after="0" w:line="240" w:lineRule="auto"/>
              <w:jc w:val="center"/>
            </w:pPr>
            <w:r>
              <w:rPr>
                <w:rFonts w:ascii="Tahoma" w:hAnsi="Tahoma" w:cs="Tahoma"/>
                <w:b/>
              </w:rPr>
              <w:t>Competenza</w:t>
            </w:r>
          </w:p>
        </w:tc>
        <w:tc>
          <w:tcPr>
            <w:tcW w:w="3262" w:type="dxa"/>
            <w:tcBorders>
              <w:top w:val="single" w:sz="4" w:space="0" w:color="000000"/>
              <w:left w:val="single" w:sz="4" w:space="0" w:color="000000"/>
              <w:bottom w:val="single" w:sz="4" w:space="0" w:color="000000"/>
            </w:tcBorders>
            <w:shd w:val="clear" w:color="auto" w:fill="auto"/>
            <w:vAlign w:val="center"/>
          </w:tcPr>
          <w:p w:rsidR="000E0A04" w:rsidRDefault="000E0A04" w:rsidP="00411CF2">
            <w:pPr>
              <w:spacing w:after="0" w:line="240" w:lineRule="auto"/>
              <w:jc w:val="center"/>
            </w:pPr>
            <w:r>
              <w:rPr>
                <w:rFonts w:ascii="Tahoma" w:hAnsi="Tahoma" w:cs="Tahoma"/>
                <w:b/>
              </w:rPr>
              <w:t>Data/periodicità</w:t>
            </w:r>
          </w:p>
        </w:tc>
        <w:tc>
          <w:tcPr>
            <w:tcW w:w="3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0A04" w:rsidRDefault="000E0A04" w:rsidP="00411CF2">
            <w:pPr>
              <w:spacing w:after="0" w:line="240" w:lineRule="auto"/>
              <w:ind w:left="100"/>
              <w:jc w:val="center"/>
            </w:pPr>
            <w:r>
              <w:rPr>
                <w:rFonts w:ascii="Tahoma" w:eastAsia="Times New Roman" w:hAnsi="Tahoma" w:cs="Tahoma"/>
                <w:b/>
              </w:rPr>
              <w:t>Attività</w:t>
            </w:r>
          </w:p>
        </w:tc>
      </w:tr>
      <w:tr w:rsidR="000E0A04" w:rsidTr="00411CF2">
        <w:trPr>
          <w:trHeight w:val="680"/>
        </w:trPr>
        <w:tc>
          <w:tcPr>
            <w:tcW w:w="3261" w:type="dxa"/>
            <w:tcBorders>
              <w:top w:val="single" w:sz="4" w:space="0" w:color="000000"/>
              <w:left w:val="single" w:sz="4" w:space="0" w:color="000000"/>
              <w:bottom w:val="single" w:sz="4" w:space="0" w:color="000000"/>
            </w:tcBorders>
            <w:shd w:val="clear" w:color="auto" w:fill="auto"/>
            <w:vAlign w:val="center"/>
          </w:tcPr>
          <w:p w:rsidR="000E0A04" w:rsidRDefault="000E0A04" w:rsidP="00411CF2">
            <w:pPr>
              <w:spacing w:after="0" w:line="240" w:lineRule="auto"/>
            </w:pPr>
            <w:r>
              <w:rPr>
                <w:rFonts w:ascii="Tahoma" w:hAnsi="Tahoma" w:cs="Tahoma"/>
                <w:sz w:val="20"/>
              </w:rPr>
              <w:t>Amministratore Unico</w:t>
            </w:r>
          </w:p>
        </w:tc>
        <w:tc>
          <w:tcPr>
            <w:tcW w:w="3262" w:type="dxa"/>
            <w:tcBorders>
              <w:top w:val="single" w:sz="4" w:space="0" w:color="000000"/>
              <w:left w:val="single" w:sz="4" w:space="0" w:color="000000"/>
              <w:bottom w:val="single" w:sz="4" w:space="0" w:color="000000"/>
            </w:tcBorders>
            <w:shd w:val="clear" w:color="auto" w:fill="auto"/>
            <w:vAlign w:val="center"/>
          </w:tcPr>
          <w:p w:rsidR="000E0A04" w:rsidRDefault="000E0A04" w:rsidP="00E00CB0">
            <w:pPr>
              <w:spacing w:after="0" w:line="240" w:lineRule="auto"/>
              <w:jc w:val="center"/>
            </w:pPr>
            <w:r>
              <w:rPr>
                <w:rFonts w:ascii="Tahoma" w:hAnsi="Tahoma" w:cs="Tahoma"/>
                <w:sz w:val="20"/>
              </w:rPr>
              <w:t>31 Gennaio 202</w:t>
            </w:r>
            <w:r w:rsidR="00E00CB0">
              <w:rPr>
                <w:rFonts w:ascii="Tahoma" w:hAnsi="Tahoma" w:cs="Tahoma"/>
                <w:sz w:val="20"/>
              </w:rPr>
              <w:t>5</w:t>
            </w:r>
          </w:p>
        </w:tc>
        <w:tc>
          <w:tcPr>
            <w:tcW w:w="3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0A04" w:rsidRDefault="000E0A04" w:rsidP="00411CF2">
            <w:pPr>
              <w:spacing w:after="0" w:line="240" w:lineRule="auto"/>
            </w:pPr>
            <w:r>
              <w:rPr>
                <w:rFonts w:ascii="Tahoma" w:hAnsi="Tahoma" w:cs="Tahoma"/>
                <w:sz w:val="20"/>
              </w:rPr>
              <w:t>Approvazione del Piano Triennale della prevenzione della corruzione</w:t>
            </w:r>
          </w:p>
        </w:tc>
      </w:tr>
      <w:tr w:rsidR="000E0A04" w:rsidTr="00411CF2">
        <w:trPr>
          <w:trHeight w:val="680"/>
        </w:trPr>
        <w:tc>
          <w:tcPr>
            <w:tcW w:w="3261" w:type="dxa"/>
            <w:tcBorders>
              <w:top w:val="single" w:sz="4" w:space="0" w:color="000000"/>
              <w:left w:val="single" w:sz="4" w:space="0" w:color="000000"/>
              <w:bottom w:val="single" w:sz="4" w:space="0" w:color="000000"/>
            </w:tcBorders>
            <w:shd w:val="clear" w:color="auto" w:fill="auto"/>
            <w:vAlign w:val="center"/>
          </w:tcPr>
          <w:p w:rsidR="000E0A04" w:rsidRDefault="000E0A04" w:rsidP="00411CF2">
            <w:pPr>
              <w:spacing w:after="0" w:line="240" w:lineRule="auto"/>
            </w:pPr>
            <w:r>
              <w:rPr>
                <w:rFonts w:ascii="Tahoma" w:hAnsi="Tahoma" w:cs="Tahoma"/>
                <w:sz w:val="20"/>
              </w:rPr>
              <w:t>Responsabile della Prevenzione della corruzione</w:t>
            </w:r>
          </w:p>
        </w:tc>
        <w:tc>
          <w:tcPr>
            <w:tcW w:w="3262" w:type="dxa"/>
            <w:tcBorders>
              <w:top w:val="single" w:sz="4" w:space="0" w:color="000000"/>
              <w:left w:val="single" w:sz="4" w:space="0" w:color="000000"/>
              <w:bottom w:val="single" w:sz="4" w:space="0" w:color="000000"/>
            </w:tcBorders>
            <w:shd w:val="clear" w:color="auto" w:fill="auto"/>
            <w:vAlign w:val="center"/>
          </w:tcPr>
          <w:p w:rsidR="000E0A04" w:rsidRDefault="000E0A04" w:rsidP="00E00CB0">
            <w:pPr>
              <w:spacing w:after="0" w:line="240" w:lineRule="auto"/>
              <w:jc w:val="center"/>
            </w:pPr>
            <w:r>
              <w:rPr>
                <w:rFonts w:ascii="Tahoma" w:hAnsi="Tahoma" w:cs="Tahoma"/>
                <w:sz w:val="20"/>
              </w:rPr>
              <w:t>Entro Marzo 202</w:t>
            </w:r>
            <w:r w:rsidR="00E00CB0">
              <w:rPr>
                <w:rFonts w:ascii="Tahoma" w:hAnsi="Tahoma" w:cs="Tahoma"/>
                <w:sz w:val="20"/>
              </w:rPr>
              <w:t>5</w:t>
            </w:r>
          </w:p>
        </w:tc>
        <w:tc>
          <w:tcPr>
            <w:tcW w:w="3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0A04" w:rsidRDefault="000E0A04" w:rsidP="000536AB">
            <w:pPr>
              <w:spacing w:after="0" w:line="240" w:lineRule="auto"/>
            </w:pPr>
            <w:r>
              <w:rPr>
                <w:rFonts w:ascii="Tahoma" w:hAnsi="Tahoma" w:cs="Tahoma"/>
                <w:sz w:val="20"/>
              </w:rPr>
              <w:t>Avvio del programma di formazione per l’anno 202</w:t>
            </w:r>
            <w:r w:rsidR="000536AB">
              <w:rPr>
                <w:rFonts w:ascii="Tahoma" w:hAnsi="Tahoma" w:cs="Tahoma"/>
                <w:sz w:val="20"/>
              </w:rPr>
              <w:t>4</w:t>
            </w:r>
          </w:p>
        </w:tc>
      </w:tr>
      <w:tr w:rsidR="000E0A04" w:rsidTr="00411CF2">
        <w:trPr>
          <w:trHeight w:val="680"/>
        </w:trPr>
        <w:tc>
          <w:tcPr>
            <w:tcW w:w="3261" w:type="dxa"/>
            <w:tcBorders>
              <w:top w:val="single" w:sz="4" w:space="0" w:color="000000"/>
              <w:left w:val="single" w:sz="4" w:space="0" w:color="000000"/>
              <w:bottom w:val="single" w:sz="4" w:space="0" w:color="000000"/>
            </w:tcBorders>
            <w:shd w:val="clear" w:color="auto" w:fill="auto"/>
            <w:vAlign w:val="center"/>
          </w:tcPr>
          <w:p w:rsidR="000E0A04" w:rsidRDefault="000E0A04" w:rsidP="00411CF2">
            <w:pPr>
              <w:spacing w:after="0" w:line="240" w:lineRule="auto"/>
            </w:pPr>
            <w:r>
              <w:rPr>
                <w:rFonts w:ascii="Tahoma" w:hAnsi="Tahoma" w:cs="Tahoma"/>
                <w:sz w:val="20"/>
              </w:rPr>
              <w:t>Direttore Amministrativo</w:t>
            </w:r>
          </w:p>
        </w:tc>
        <w:tc>
          <w:tcPr>
            <w:tcW w:w="3262" w:type="dxa"/>
            <w:tcBorders>
              <w:top w:val="single" w:sz="4" w:space="0" w:color="000000"/>
              <w:left w:val="single" w:sz="4" w:space="0" w:color="000000"/>
              <w:bottom w:val="single" w:sz="4" w:space="0" w:color="000000"/>
            </w:tcBorders>
            <w:shd w:val="clear" w:color="auto" w:fill="auto"/>
            <w:vAlign w:val="center"/>
          </w:tcPr>
          <w:p w:rsidR="000E0A04" w:rsidRDefault="000E0A04" w:rsidP="00411CF2">
            <w:pPr>
              <w:spacing w:after="0" w:line="240" w:lineRule="auto"/>
              <w:jc w:val="center"/>
            </w:pPr>
            <w:r>
              <w:rPr>
                <w:rFonts w:ascii="Tahoma" w:hAnsi="Tahoma" w:cs="Tahoma"/>
                <w:sz w:val="20"/>
              </w:rPr>
              <w:t>Semestrale</w:t>
            </w:r>
          </w:p>
        </w:tc>
        <w:tc>
          <w:tcPr>
            <w:tcW w:w="3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0A04" w:rsidRDefault="000E0A04" w:rsidP="00411CF2">
            <w:pPr>
              <w:spacing w:after="0" w:line="240" w:lineRule="auto"/>
            </w:pPr>
            <w:r>
              <w:rPr>
                <w:rFonts w:ascii="Tahoma" w:hAnsi="Tahoma" w:cs="Tahoma"/>
                <w:sz w:val="20"/>
              </w:rPr>
              <w:t>Obbligo di informazione con relazione scritta al Responsabile della prevenzione della corruzione</w:t>
            </w:r>
          </w:p>
        </w:tc>
      </w:tr>
      <w:tr w:rsidR="000E0A04" w:rsidTr="00411CF2">
        <w:trPr>
          <w:trHeight w:val="680"/>
        </w:trPr>
        <w:tc>
          <w:tcPr>
            <w:tcW w:w="3261" w:type="dxa"/>
            <w:tcBorders>
              <w:top w:val="single" w:sz="4" w:space="0" w:color="000000"/>
              <w:left w:val="single" w:sz="4" w:space="0" w:color="000000"/>
              <w:bottom w:val="single" w:sz="4" w:space="0" w:color="000000"/>
            </w:tcBorders>
            <w:shd w:val="clear" w:color="auto" w:fill="auto"/>
            <w:vAlign w:val="center"/>
          </w:tcPr>
          <w:p w:rsidR="000E0A04" w:rsidRDefault="000E0A04" w:rsidP="00411CF2">
            <w:pPr>
              <w:spacing w:after="0" w:line="240" w:lineRule="auto"/>
            </w:pPr>
            <w:r>
              <w:rPr>
                <w:rFonts w:ascii="Tahoma" w:hAnsi="Tahoma" w:cs="Tahoma"/>
                <w:sz w:val="20"/>
              </w:rPr>
              <w:t>Responsabile della Prevenzione della corruzione</w:t>
            </w:r>
          </w:p>
        </w:tc>
        <w:tc>
          <w:tcPr>
            <w:tcW w:w="3262" w:type="dxa"/>
            <w:tcBorders>
              <w:top w:val="single" w:sz="4" w:space="0" w:color="000000"/>
              <w:left w:val="single" w:sz="4" w:space="0" w:color="000000"/>
              <w:bottom w:val="single" w:sz="4" w:space="0" w:color="000000"/>
            </w:tcBorders>
            <w:shd w:val="clear" w:color="auto" w:fill="auto"/>
            <w:vAlign w:val="center"/>
          </w:tcPr>
          <w:p w:rsidR="000E0A04" w:rsidRDefault="000E0A04" w:rsidP="00E00CB0">
            <w:pPr>
              <w:spacing w:after="0" w:line="240" w:lineRule="auto"/>
              <w:jc w:val="center"/>
            </w:pPr>
            <w:r>
              <w:rPr>
                <w:rFonts w:ascii="Tahoma" w:hAnsi="Tahoma" w:cs="Tahoma"/>
                <w:sz w:val="20"/>
              </w:rPr>
              <w:t>31 Dicembre 202</w:t>
            </w:r>
            <w:r w:rsidR="00E00CB0">
              <w:rPr>
                <w:rFonts w:ascii="Tahoma" w:hAnsi="Tahoma" w:cs="Tahoma"/>
                <w:sz w:val="20"/>
              </w:rPr>
              <w:t>5</w:t>
            </w:r>
          </w:p>
        </w:tc>
        <w:tc>
          <w:tcPr>
            <w:tcW w:w="3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0A04" w:rsidRDefault="000E0A04" w:rsidP="00411CF2">
            <w:pPr>
              <w:spacing w:after="0" w:line="240" w:lineRule="auto"/>
            </w:pPr>
            <w:r>
              <w:rPr>
                <w:rFonts w:ascii="Tahoma" w:hAnsi="Tahoma" w:cs="Tahoma"/>
                <w:sz w:val="20"/>
              </w:rPr>
              <w:t>Relazione attività svolta da pubblicare sul sito internet</w:t>
            </w:r>
          </w:p>
        </w:tc>
      </w:tr>
      <w:tr w:rsidR="000E0A04" w:rsidTr="00411CF2">
        <w:trPr>
          <w:trHeight w:val="680"/>
        </w:trPr>
        <w:tc>
          <w:tcPr>
            <w:tcW w:w="3261" w:type="dxa"/>
            <w:tcBorders>
              <w:top w:val="single" w:sz="4" w:space="0" w:color="000000"/>
              <w:left w:val="single" w:sz="4" w:space="0" w:color="000000"/>
              <w:bottom w:val="single" w:sz="4" w:space="0" w:color="000000"/>
            </w:tcBorders>
            <w:shd w:val="clear" w:color="auto" w:fill="auto"/>
            <w:vAlign w:val="center"/>
          </w:tcPr>
          <w:p w:rsidR="000E0A04" w:rsidRDefault="000E0A04" w:rsidP="00411CF2">
            <w:pPr>
              <w:spacing w:after="0" w:line="240" w:lineRule="auto"/>
            </w:pPr>
            <w:r>
              <w:rPr>
                <w:rFonts w:ascii="Tahoma" w:hAnsi="Tahoma" w:cs="Tahoma"/>
                <w:sz w:val="20"/>
              </w:rPr>
              <w:t>Responsabile della Prevenzione della corruzione</w:t>
            </w:r>
          </w:p>
        </w:tc>
        <w:tc>
          <w:tcPr>
            <w:tcW w:w="3262" w:type="dxa"/>
            <w:tcBorders>
              <w:top w:val="single" w:sz="4" w:space="0" w:color="000000"/>
              <w:left w:val="single" w:sz="4" w:space="0" w:color="000000"/>
              <w:bottom w:val="single" w:sz="4" w:space="0" w:color="000000"/>
            </w:tcBorders>
            <w:shd w:val="clear" w:color="auto" w:fill="auto"/>
            <w:vAlign w:val="center"/>
          </w:tcPr>
          <w:p w:rsidR="000E0A04" w:rsidRDefault="000E0A04" w:rsidP="00411CF2">
            <w:pPr>
              <w:spacing w:after="0" w:line="240" w:lineRule="auto"/>
              <w:jc w:val="center"/>
            </w:pPr>
            <w:r>
              <w:rPr>
                <w:rFonts w:ascii="Tahoma" w:hAnsi="Tahoma" w:cs="Tahoma"/>
                <w:sz w:val="20"/>
              </w:rPr>
              <w:t>Annuale</w:t>
            </w:r>
          </w:p>
        </w:tc>
        <w:tc>
          <w:tcPr>
            <w:tcW w:w="3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0A04" w:rsidRDefault="000E0A04" w:rsidP="00411CF2">
            <w:pPr>
              <w:spacing w:after="0" w:line="240" w:lineRule="auto"/>
            </w:pPr>
            <w:r>
              <w:rPr>
                <w:rFonts w:ascii="Tahoma" w:hAnsi="Tahoma" w:cs="Tahoma"/>
                <w:sz w:val="20"/>
              </w:rPr>
              <w:t>Monitoraggio misure trattamento dei rischi</w:t>
            </w:r>
          </w:p>
        </w:tc>
      </w:tr>
    </w:tbl>
    <w:p w:rsidR="000E0A04" w:rsidRDefault="000E0A04">
      <w:pPr>
        <w:spacing w:after="0"/>
        <w:jc w:val="both"/>
        <w:rPr>
          <w:rFonts w:ascii="Tahoma" w:eastAsia="Times New Roman" w:hAnsi="Tahoma" w:cs="Tahoma"/>
        </w:rPr>
      </w:pPr>
    </w:p>
    <w:tbl>
      <w:tblPr>
        <w:tblW w:w="0" w:type="auto"/>
        <w:tblInd w:w="-5" w:type="dxa"/>
        <w:tblLayout w:type="fixed"/>
        <w:tblLook w:val="0000"/>
      </w:tblPr>
      <w:tblGrid>
        <w:gridCol w:w="3261"/>
        <w:gridCol w:w="3262"/>
        <w:gridCol w:w="3272"/>
      </w:tblGrid>
      <w:tr w:rsidR="00234090" w:rsidTr="00234090">
        <w:trPr>
          <w:trHeight w:val="397"/>
        </w:trPr>
        <w:tc>
          <w:tcPr>
            <w:tcW w:w="9795" w:type="dxa"/>
            <w:gridSpan w:val="3"/>
            <w:tcBorders>
              <w:top w:val="single" w:sz="4" w:space="0" w:color="000000"/>
              <w:left w:val="single" w:sz="4" w:space="0" w:color="000000"/>
              <w:bottom w:val="single" w:sz="4" w:space="0" w:color="000000"/>
              <w:right w:val="single" w:sz="4" w:space="0" w:color="000000"/>
            </w:tcBorders>
            <w:shd w:val="clear" w:color="auto" w:fill="F79646"/>
            <w:vAlign w:val="center"/>
          </w:tcPr>
          <w:p w:rsidR="00234090" w:rsidRDefault="00234090" w:rsidP="00E00CB0">
            <w:pPr>
              <w:spacing w:after="0" w:line="240" w:lineRule="auto"/>
              <w:jc w:val="center"/>
            </w:pPr>
            <w:r>
              <w:rPr>
                <w:rFonts w:ascii="Tahoma" w:hAnsi="Tahoma" w:cs="Tahoma"/>
                <w:b/>
              </w:rPr>
              <w:t>Anno 202</w:t>
            </w:r>
            <w:r w:rsidR="00E00CB0">
              <w:rPr>
                <w:rFonts w:ascii="Tahoma" w:hAnsi="Tahoma" w:cs="Tahoma"/>
                <w:b/>
              </w:rPr>
              <w:t>6</w:t>
            </w:r>
          </w:p>
        </w:tc>
      </w:tr>
      <w:tr w:rsidR="00234090" w:rsidTr="001D185F">
        <w:trPr>
          <w:trHeight w:val="397"/>
        </w:trPr>
        <w:tc>
          <w:tcPr>
            <w:tcW w:w="3261" w:type="dxa"/>
            <w:tcBorders>
              <w:top w:val="single" w:sz="4" w:space="0" w:color="000000"/>
              <w:left w:val="single" w:sz="4" w:space="0" w:color="000000"/>
              <w:bottom w:val="single" w:sz="4" w:space="0" w:color="000000"/>
            </w:tcBorders>
            <w:shd w:val="clear" w:color="auto" w:fill="auto"/>
            <w:vAlign w:val="center"/>
          </w:tcPr>
          <w:p w:rsidR="00234090" w:rsidRDefault="00234090" w:rsidP="001D185F">
            <w:pPr>
              <w:spacing w:after="0" w:line="240" w:lineRule="auto"/>
              <w:jc w:val="center"/>
            </w:pPr>
            <w:r>
              <w:rPr>
                <w:rFonts w:ascii="Tahoma" w:hAnsi="Tahoma" w:cs="Tahoma"/>
                <w:b/>
              </w:rPr>
              <w:t>Competenza</w:t>
            </w:r>
          </w:p>
        </w:tc>
        <w:tc>
          <w:tcPr>
            <w:tcW w:w="3262" w:type="dxa"/>
            <w:tcBorders>
              <w:top w:val="single" w:sz="4" w:space="0" w:color="000000"/>
              <w:left w:val="single" w:sz="4" w:space="0" w:color="000000"/>
              <w:bottom w:val="single" w:sz="4" w:space="0" w:color="000000"/>
            </w:tcBorders>
            <w:shd w:val="clear" w:color="auto" w:fill="auto"/>
            <w:vAlign w:val="center"/>
          </w:tcPr>
          <w:p w:rsidR="00234090" w:rsidRDefault="00234090" w:rsidP="001D185F">
            <w:pPr>
              <w:spacing w:after="0" w:line="240" w:lineRule="auto"/>
              <w:jc w:val="center"/>
            </w:pPr>
            <w:r>
              <w:rPr>
                <w:rFonts w:ascii="Tahoma" w:hAnsi="Tahoma" w:cs="Tahoma"/>
                <w:b/>
              </w:rPr>
              <w:t>Data/periodicità</w:t>
            </w:r>
          </w:p>
        </w:tc>
        <w:tc>
          <w:tcPr>
            <w:tcW w:w="3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4090" w:rsidRDefault="00234090" w:rsidP="001D185F">
            <w:pPr>
              <w:spacing w:after="0" w:line="240" w:lineRule="auto"/>
              <w:ind w:left="100"/>
              <w:jc w:val="center"/>
            </w:pPr>
            <w:r>
              <w:rPr>
                <w:rFonts w:ascii="Tahoma" w:eastAsia="Times New Roman" w:hAnsi="Tahoma" w:cs="Tahoma"/>
                <w:b/>
              </w:rPr>
              <w:t>Attività</w:t>
            </w:r>
          </w:p>
        </w:tc>
      </w:tr>
      <w:tr w:rsidR="00234090" w:rsidTr="001D185F">
        <w:trPr>
          <w:trHeight w:val="680"/>
        </w:trPr>
        <w:tc>
          <w:tcPr>
            <w:tcW w:w="3261" w:type="dxa"/>
            <w:tcBorders>
              <w:top w:val="single" w:sz="4" w:space="0" w:color="000000"/>
              <w:left w:val="single" w:sz="4" w:space="0" w:color="000000"/>
              <w:bottom w:val="single" w:sz="4" w:space="0" w:color="000000"/>
            </w:tcBorders>
            <w:shd w:val="clear" w:color="auto" w:fill="auto"/>
            <w:vAlign w:val="center"/>
          </w:tcPr>
          <w:p w:rsidR="00234090" w:rsidRDefault="00234090" w:rsidP="001D185F">
            <w:pPr>
              <w:spacing w:after="0" w:line="240" w:lineRule="auto"/>
            </w:pPr>
            <w:r>
              <w:rPr>
                <w:rFonts w:ascii="Tahoma" w:hAnsi="Tahoma" w:cs="Tahoma"/>
                <w:sz w:val="20"/>
              </w:rPr>
              <w:t>Amministratore Unico</w:t>
            </w:r>
          </w:p>
        </w:tc>
        <w:tc>
          <w:tcPr>
            <w:tcW w:w="3262" w:type="dxa"/>
            <w:tcBorders>
              <w:top w:val="single" w:sz="4" w:space="0" w:color="000000"/>
              <w:left w:val="single" w:sz="4" w:space="0" w:color="000000"/>
              <w:bottom w:val="single" w:sz="4" w:space="0" w:color="000000"/>
            </w:tcBorders>
            <w:shd w:val="clear" w:color="auto" w:fill="auto"/>
            <w:vAlign w:val="center"/>
          </w:tcPr>
          <w:p w:rsidR="00234090" w:rsidRDefault="00234090" w:rsidP="00E00CB0">
            <w:pPr>
              <w:spacing w:after="0" w:line="240" w:lineRule="auto"/>
              <w:jc w:val="center"/>
            </w:pPr>
            <w:r>
              <w:rPr>
                <w:rFonts w:ascii="Tahoma" w:hAnsi="Tahoma" w:cs="Tahoma"/>
                <w:sz w:val="20"/>
              </w:rPr>
              <w:t>31 Gennaio 202</w:t>
            </w:r>
            <w:r w:rsidR="00E00CB0">
              <w:rPr>
                <w:rFonts w:ascii="Tahoma" w:hAnsi="Tahoma" w:cs="Tahoma"/>
                <w:sz w:val="20"/>
              </w:rPr>
              <w:t>6</w:t>
            </w:r>
          </w:p>
        </w:tc>
        <w:tc>
          <w:tcPr>
            <w:tcW w:w="3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4090" w:rsidRDefault="00234090" w:rsidP="001D185F">
            <w:pPr>
              <w:spacing w:after="0" w:line="240" w:lineRule="auto"/>
            </w:pPr>
            <w:r>
              <w:rPr>
                <w:rFonts w:ascii="Tahoma" w:hAnsi="Tahoma" w:cs="Tahoma"/>
                <w:sz w:val="20"/>
              </w:rPr>
              <w:t>Approvazione del Piano Triennale della prevenzione della corruzione</w:t>
            </w:r>
          </w:p>
        </w:tc>
      </w:tr>
      <w:tr w:rsidR="00234090" w:rsidTr="001D185F">
        <w:trPr>
          <w:trHeight w:val="680"/>
        </w:trPr>
        <w:tc>
          <w:tcPr>
            <w:tcW w:w="3261" w:type="dxa"/>
            <w:tcBorders>
              <w:top w:val="single" w:sz="4" w:space="0" w:color="000000"/>
              <w:left w:val="single" w:sz="4" w:space="0" w:color="000000"/>
              <w:bottom w:val="single" w:sz="4" w:space="0" w:color="000000"/>
            </w:tcBorders>
            <w:shd w:val="clear" w:color="auto" w:fill="auto"/>
            <w:vAlign w:val="center"/>
          </w:tcPr>
          <w:p w:rsidR="00234090" w:rsidRDefault="00234090" w:rsidP="001D185F">
            <w:pPr>
              <w:spacing w:after="0" w:line="240" w:lineRule="auto"/>
            </w:pPr>
            <w:r>
              <w:rPr>
                <w:rFonts w:ascii="Tahoma" w:hAnsi="Tahoma" w:cs="Tahoma"/>
                <w:sz w:val="20"/>
              </w:rPr>
              <w:t>Responsabile della Prevenzione della corruzione</w:t>
            </w:r>
          </w:p>
        </w:tc>
        <w:tc>
          <w:tcPr>
            <w:tcW w:w="3262" w:type="dxa"/>
            <w:tcBorders>
              <w:top w:val="single" w:sz="4" w:space="0" w:color="000000"/>
              <w:left w:val="single" w:sz="4" w:space="0" w:color="000000"/>
              <w:bottom w:val="single" w:sz="4" w:space="0" w:color="000000"/>
            </w:tcBorders>
            <w:shd w:val="clear" w:color="auto" w:fill="auto"/>
            <w:vAlign w:val="center"/>
          </w:tcPr>
          <w:p w:rsidR="00234090" w:rsidRDefault="00234090" w:rsidP="00E00CB0">
            <w:pPr>
              <w:spacing w:after="0" w:line="240" w:lineRule="auto"/>
              <w:jc w:val="center"/>
            </w:pPr>
            <w:r>
              <w:rPr>
                <w:rFonts w:ascii="Tahoma" w:hAnsi="Tahoma" w:cs="Tahoma"/>
                <w:sz w:val="20"/>
              </w:rPr>
              <w:t>Entro Marzo 202</w:t>
            </w:r>
            <w:r w:rsidR="00E00CB0">
              <w:rPr>
                <w:rFonts w:ascii="Tahoma" w:hAnsi="Tahoma" w:cs="Tahoma"/>
                <w:sz w:val="20"/>
              </w:rPr>
              <w:t>6</w:t>
            </w:r>
          </w:p>
        </w:tc>
        <w:tc>
          <w:tcPr>
            <w:tcW w:w="3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4090" w:rsidRDefault="00234090" w:rsidP="000536AB">
            <w:pPr>
              <w:spacing w:after="0" w:line="240" w:lineRule="auto"/>
            </w:pPr>
            <w:r>
              <w:rPr>
                <w:rFonts w:ascii="Tahoma" w:hAnsi="Tahoma" w:cs="Tahoma"/>
                <w:sz w:val="20"/>
              </w:rPr>
              <w:t>Avvio del programma di formazione per l’anno 202</w:t>
            </w:r>
            <w:r w:rsidR="000536AB">
              <w:rPr>
                <w:rFonts w:ascii="Tahoma" w:hAnsi="Tahoma" w:cs="Tahoma"/>
                <w:sz w:val="20"/>
              </w:rPr>
              <w:t>5</w:t>
            </w:r>
          </w:p>
        </w:tc>
      </w:tr>
      <w:tr w:rsidR="00234090" w:rsidTr="001D185F">
        <w:trPr>
          <w:trHeight w:val="680"/>
        </w:trPr>
        <w:tc>
          <w:tcPr>
            <w:tcW w:w="3261" w:type="dxa"/>
            <w:tcBorders>
              <w:top w:val="single" w:sz="4" w:space="0" w:color="000000"/>
              <w:left w:val="single" w:sz="4" w:space="0" w:color="000000"/>
              <w:bottom w:val="single" w:sz="4" w:space="0" w:color="000000"/>
            </w:tcBorders>
            <w:shd w:val="clear" w:color="auto" w:fill="auto"/>
            <w:vAlign w:val="center"/>
          </w:tcPr>
          <w:p w:rsidR="00234090" w:rsidRDefault="00234090" w:rsidP="001D185F">
            <w:pPr>
              <w:spacing w:after="0" w:line="240" w:lineRule="auto"/>
            </w:pPr>
            <w:r>
              <w:rPr>
                <w:rFonts w:ascii="Tahoma" w:hAnsi="Tahoma" w:cs="Tahoma"/>
                <w:sz w:val="20"/>
              </w:rPr>
              <w:t>Direttore Amministrativo</w:t>
            </w:r>
          </w:p>
        </w:tc>
        <w:tc>
          <w:tcPr>
            <w:tcW w:w="3262" w:type="dxa"/>
            <w:tcBorders>
              <w:top w:val="single" w:sz="4" w:space="0" w:color="000000"/>
              <w:left w:val="single" w:sz="4" w:space="0" w:color="000000"/>
              <w:bottom w:val="single" w:sz="4" w:space="0" w:color="000000"/>
            </w:tcBorders>
            <w:shd w:val="clear" w:color="auto" w:fill="auto"/>
            <w:vAlign w:val="center"/>
          </w:tcPr>
          <w:p w:rsidR="00234090" w:rsidRDefault="00234090" w:rsidP="001D185F">
            <w:pPr>
              <w:spacing w:after="0" w:line="240" w:lineRule="auto"/>
              <w:jc w:val="center"/>
            </w:pPr>
            <w:r>
              <w:rPr>
                <w:rFonts w:ascii="Tahoma" w:hAnsi="Tahoma" w:cs="Tahoma"/>
                <w:sz w:val="20"/>
              </w:rPr>
              <w:t>Semestrale</w:t>
            </w:r>
          </w:p>
        </w:tc>
        <w:tc>
          <w:tcPr>
            <w:tcW w:w="3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4090" w:rsidRDefault="00234090" w:rsidP="001D185F">
            <w:pPr>
              <w:spacing w:after="0" w:line="240" w:lineRule="auto"/>
            </w:pPr>
            <w:r>
              <w:rPr>
                <w:rFonts w:ascii="Tahoma" w:hAnsi="Tahoma" w:cs="Tahoma"/>
                <w:sz w:val="20"/>
              </w:rPr>
              <w:t>Obbligo di informazione con relazione scritta al Responsabile della prevenzione della corruzione</w:t>
            </w:r>
          </w:p>
        </w:tc>
      </w:tr>
      <w:tr w:rsidR="00234090" w:rsidTr="001D185F">
        <w:trPr>
          <w:trHeight w:val="680"/>
        </w:trPr>
        <w:tc>
          <w:tcPr>
            <w:tcW w:w="3261" w:type="dxa"/>
            <w:tcBorders>
              <w:top w:val="single" w:sz="4" w:space="0" w:color="000000"/>
              <w:left w:val="single" w:sz="4" w:space="0" w:color="000000"/>
              <w:bottom w:val="single" w:sz="4" w:space="0" w:color="000000"/>
            </w:tcBorders>
            <w:shd w:val="clear" w:color="auto" w:fill="auto"/>
            <w:vAlign w:val="center"/>
          </w:tcPr>
          <w:p w:rsidR="00234090" w:rsidRDefault="00234090" w:rsidP="001D185F">
            <w:pPr>
              <w:spacing w:after="0" w:line="240" w:lineRule="auto"/>
            </w:pPr>
            <w:r>
              <w:rPr>
                <w:rFonts w:ascii="Tahoma" w:hAnsi="Tahoma" w:cs="Tahoma"/>
                <w:sz w:val="20"/>
              </w:rPr>
              <w:t>Responsabile della Prevenzione della corruzione</w:t>
            </w:r>
          </w:p>
        </w:tc>
        <w:tc>
          <w:tcPr>
            <w:tcW w:w="3262" w:type="dxa"/>
            <w:tcBorders>
              <w:top w:val="single" w:sz="4" w:space="0" w:color="000000"/>
              <w:left w:val="single" w:sz="4" w:space="0" w:color="000000"/>
              <w:bottom w:val="single" w:sz="4" w:space="0" w:color="000000"/>
            </w:tcBorders>
            <w:shd w:val="clear" w:color="auto" w:fill="auto"/>
            <w:vAlign w:val="center"/>
          </w:tcPr>
          <w:p w:rsidR="00234090" w:rsidRDefault="00234090" w:rsidP="00E00CB0">
            <w:pPr>
              <w:spacing w:after="0" w:line="240" w:lineRule="auto"/>
              <w:jc w:val="center"/>
            </w:pPr>
            <w:r>
              <w:rPr>
                <w:rFonts w:ascii="Tahoma" w:hAnsi="Tahoma" w:cs="Tahoma"/>
                <w:sz w:val="20"/>
              </w:rPr>
              <w:t>31 Dicembre 202</w:t>
            </w:r>
            <w:r w:rsidR="00E00CB0">
              <w:rPr>
                <w:rFonts w:ascii="Tahoma" w:hAnsi="Tahoma" w:cs="Tahoma"/>
                <w:sz w:val="20"/>
              </w:rPr>
              <w:t>6</w:t>
            </w:r>
          </w:p>
        </w:tc>
        <w:tc>
          <w:tcPr>
            <w:tcW w:w="3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4090" w:rsidRDefault="00234090" w:rsidP="001D185F">
            <w:pPr>
              <w:spacing w:after="0" w:line="240" w:lineRule="auto"/>
            </w:pPr>
            <w:r>
              <w:rPr>
                <w:rFonts w:ascii="Tahoma" w:hAnsi="Tahoma" w:cs="Tahoma"/>
                <w:sz w:val="20"/>
              </w:rPr>
              <w:t>Relazione attività svolta da pubblicare sul sito internet</w:t>
            </w:r>
          </w:p>
        </w:tc>
      </w:tr>
      <w:tr w:rsidR="00234090" w:rsidTr="001D185F">
        <w:trPr>
          <w:trHeight w:val="680"/>
        </w:trPr>
        <w:tc>
          <w:tcPr>
            <w:tcW w:w="3261" w:type="dxa"/>
            <w:tcBorders>
              <w:top w:val="single" w:sz="4" w:space="0" w:color="000000"/>
              <w:left w:val="single" w:sz="4" w:space="0" w:color="000000"/>
              <w:bottom w:val="single" w:sz="4" w:space="0" w:color="000000"/>
            </w:tcBorders>
            <w:shd w:val="clear" w:color="auto" w:fill="auto"/>
            <w:vAlign w:val="center"/>
          </w:tcPr>
          <w:p w:rsidR="00234090" w:rsidRDefault="00234090" w:rsidP="001D185F">
            <w:pPr>
              <w:spacing w:after="0" w:line="240" w:lineRule="auto"/>
            </w:pPr>
            <w:r>
              <w:rPr>
                <w:rFonts w:ascii="Tahoma" w:hAnsi="Tahoma" w:cs="Tahoma"/>
                <w:sz w:val="20"/>
              </w:rPr>
              <w:t>Responsabile della Prevenzione della corruzione</w:t>
            </w:r>
          </w:p>
        </w:tc>
        <w:tc>
          <w:tcPr>
            <w:tcW w:w="3262" w:type="dxa"/>
            <w:tcBorders>
              <w:top w:val="single" w:sz="4" w:space="0" w:color="000000"/>
              <w:left w:val="single" w:sz="4" w:space="0" w:color="000000"/>
              <w:bottom w:val="single" w:sz="4" w:space="0" w:color="000000"/>
            </w:tcBorders>
            <w:shd w:val="clear" w:color="auto" w:fill="auto"/>
            <w:vAlign w:val="center"/>
          </w:tcPr>
          <w:p w:rsidR="00234090" w:rsidRDefault="00234090" w:rsidP="001D185F">
            <w:pPr>
              <w:spacing w:after="0" w:line="240" w:lineRule="auto"/>
              <w:jc w:val="center"/>
            </w:pPr>
            <w:r>
              <w:rPr>
                <w:rFonts w:ascii="Tahoma" w:hAnsi="Tahoma" w:cs="Tahoma"/>
                <w:sz w:val="20"/>
              </w:rPr>
              <w:t>Annuale</w:t>
            </w:r>
          </w:p>
        </w:tc>
        <w:tc>
          <w:tcPr>
            <w:tcW w:w="3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4090" w:rsidRDefault="00234090" w:rsidP="001D185F">
            <w:pPr>
              <w:spacing w:after="0" w:line="240" w:lineRule="auto"/>
            </w:pPr>
            <w:r>
              <w:rPr>
                <w:rFonts w:ascii="Tahoma" w:hAnsi="Tahoma" w:cs="Tahoma"/>
                <w:sz w:val="20"/>
              </w:rPr>
              <w:t>Monitoraggio misure trattamento dei rischi</w:t>
            </w:r>
          </w:p>
        </w:tc>
      </w:tr>
    </w:tbl>
    <w:p w:rsidR="00234090" w:rsidRDefault="00234090">
      <w:pPr>
        <w:spacing w:after="0"/>
        <w:jc w:val="both"/>
        <w:rPr>
          <w:rFonts w:ascii="Tahoma" w:eastAsia="Times New Roman" w:hAnsi="Tahoma" w:cs="Tahoma"/>
        </w:rPr>
      </w:pPr>
    </w:p>
    <w:p w:rsidR="00CC7B4D" w:rsidRDefault="00CC7B4D">
      <w:pPr>
        <w:spacing w:after="0"/>
        <w:jc w:val="both"/>
      </w:pPr>
      <w:r>
        <w:rPr>
          <w:rFonts w:ascii="Tahoma" w:eastAsia="Times New Roman" w:hAnsi="Tahoma" w:cs="Tahoma"/>
        </w:rPr>
        <w:lastRenderedPageBreak/>
        <w:t>Il presente Piano è un documento di carattere “dinamico” ed è pertanto suscettibile di modificazioni e adeguamenti, sia per l’entrata in vigore di nuove norme, sia per mutamenti nell’organizzazione o nell’attività della Società.</w:t>
      </w:r>
    </w:p>
    <w:p w:rsidR="000E0A04" w:rsidRDefault="000E0A04">
      <w:pPr>
        <w:spacing w:after="0"/>
        <w:ind w:left="7"/>
        <w:jc w:val="both"/>
        <w:rPr>
          <w:rFonts w:ascii="Tahoma" w:eastAsia="Times New Roman" w:hAnsi="Tahoma" w:cs="Tahoma"/>
          <w:b/>
          <w:szCs w:val="20"/>
        </w:rPr>
      </w:pPr>
    </w:p>
    <w:p w:rsidR="00CC7B4D" w:rsidRDefault="000E0A04">
      <w:pPr>
        <w:spacing w:after="0"/>
        <w:ind w:left="7"/>
        <w:jc w:val="both"/>
      </w:pPr>
      <w:r>
        <w:rPr>
          <w:rFonts w:ascii="Tahoma" w:eastAsia="Times New Roman" w:hAnsi="Tahoma" w:cs="Tahoma"/>
          <w:b/>
          <w:szCs w:val="20"/>
        </w:rPr>
        <w:t>P</w:t>
      </w:r>
      <w:r w:rsidR="00CC7B4D">
        <w:rPr>
          <w:rFonts w:ascii="Tahoma" w:eastAsia="Times New Roman" w:hAnsi="Tahoma" w:cs="Tahoma"/>
          <w:b/>
          <w:szCs w:val="20"/>
        </w:rPr>
        <w:t>rincipale normativa di riferimento</w:t>
      </w:r>
    </w:p>
    <w:p w:rsidR="00CC7B4D" w:rsidRDefault="00CC7B4D">
      <w:pPr>
        <w:pStyle w:val="Paragrafoelenco"/>
        <w:numPr>
          <w:ilvl w:val="0"/>
          <w:numId w:val="9"/>
        </w:numPr>
        <w:autoSpaceDE w:val="0"/>
        <w:spacing w:after="0"/>
        <w:ind w:left="426" w:hanging="426"/>
        <w:jc w:val="both"/>
      </w:pPr>
      <w:r>
        <w:rPr>
          <w:rFonts w:ascii="Tahoma" w:hAnsi="Tahoma" w:cs="Tahoma"/>
          <w:b/>
          <w:sz w:val="20"/>
        </w:rPr>
        <w:t>Codice Penale art. dal 318 al 322</w:t>
      </w:r>
      <w:r>
        <w:rPr>
          <w:rFonts w:ascii="Tahoma" w:hAnsi="Tahoma" w:cs="Tahoma"/>
          <w:sz w:val="20"/>
        </w:rPr>
        <w:t>;</w:t>
      </w:r>
    </w:p>
    <w:p w:rsidR="00CC7B4D" w:rsidRDefault="00CC7B4D">
      <w:pPr>
        <w:pStyle w:val="Paragrafoelenco"/>
        <w:numPr>
          <w:ilvl w:val="0"/>
          <w:numId w:val="9"/>
        </w:numPr>
        <w:autoSpaceDE w:val="0"/>
        <w:spacing w:after="0"/>
        <w:ind w:left="426" w:hanging="426"/>
        <w:jc w:val="both"/>
      </w:pPr>
      <w:r>
        <w:rPr>
          <w:rFonts w:ascii="Tahoma" w:hAnsi="Tahoma" w:cs="Tahoma"/>
          <w:b/>
          <w:sz w:val="20"/>
        </w:rPr>
        <w:t>Decreto legislativo 30 marzo 2001, n. 165</w:t>
      </w:r>
      <w:r>
        <w:rPr>
          <w:rFonts w:ascii="Tahoma" w:hAnsi="Tahoma" w:cs="Tahoma"/>
          <w:sz w:val="20"/>
        </w:rPr>
        <w:t>, “</w:t>
      </w:r>
      <w:r>
        <w:rPr>
          <w:rFonts w:ascii="Tahoma" w:hAnsi="Tahoma" w:cs="Tahoma"/>
          <w:iCs/>
          <w:sz w:val="20"/>
        </w:rPr>
        <w:t>Norme generali sull’ordinamento del lavoro alle dipendenze delle amministrazioni pubbliche</w:t>
      </w:r>
      <w:r>
        <w:rPr>
          <w:rFonts w:ascii="Tahoma" w:hAnsi="Tahoma" w:cs="Tahoma"/>
          <w:sz w:val="20"/>
        </w:rPr>
        <w:t>”;</w:t>
      </w:r>
    </w:p>
    <w:p w:rsidR="00CC7B4D" w:rsidRDefault="00CC7B4D">
      <w:pPr>
        <w:pStyle w:val="Paragrafoelenco"/>
        <w:numPr>
          <w:ilvl w:val="0"/>
          <w:numId w:val="9"/>
        </w:numPr>
        <w:autoSpaceDE w:val="0"/>
        <w:spacing w:after="0"/>
        <w:ind w:left="426" w:hanging="426"/>
        <w:jc w:val="both"/>
      </w:pPr>
      <w:r>
        <w:rPr>
          <w:rFonts w:ascii="Tahoma" w:hAnsi="Tahoma" w:cs="Tahoma"/>
          <w:b/>
          <w:sz w:val="20"/>
        </w:rPr>
        <w:t>Legge 3 agosto 2009, n. 116</w:t>
      </w:r>
      <w:r>
        <w:rPr>
          <w:rFonts w:ascii="Tahoma" w:hAnsi="Tahoma" w:cs="Tahoma"/>
          <w:sz w:val="20"/>
        </w:rPr>
        <w:t xml:space="preserve">, </w:t>
      </w:r>
      <w:r>
        <w:rPr>
          <w:rFonts w:ascii="Tahoma" w:hAnsi="Tahoma" w:cs="Tahoma"/>
          <w:iCs/>
          <w:sz w:val="20"/>
        </w:rPr>
        <w:t>“Ratifica ed esecuzione della Convenzione dell’Organizzazione delle Nazioni Unite contro la corruzione, adottata dalla Assemblea generale dell’ONU il 31 ottobre 2003 con risoluzione n. 58/4, firmata dallo Stato italiano il 9 dicembre 2003, nonché norme di adeguamento interno e modifiche al codice penale e al codice di procedura penale”;</w:t>
      </w:r>
    </w:p>
    <w:p w:rsidR="00CC7B4D" w:rsidRDefault="00CC7B4D">
      <w:pPr>
        <w:pStyle w:val="Paragrafoelenco"/>
        <w:numPr>
          <w:ilvl w:val="0"/>
          <w:numId w:val="9"/>
        </w:numPr>
        <w:autoSpaceDE w:val="0"/>
        <w:spacing w:after="0"/>
        <w:ind w:left="426" w:hanging="426"/>
        <w:jc w:val="both"/>
      </w:pPr>
      <w:r>
        <w:rPr>
          <w:rFonts w:ascii="Tahoma" w:hAnsi="Tahoma" w:cs="Tahoma"/>
          <w:b/>
          <w:sz w:val="20"/>
        </w:rPr>
        <w:t>Decreto legislativo 27 ottobre 2009, n. 150</w:t>
      </w:r>
      <w:r>
        <w:rPr>
          <w:rFonts w:ascii="Tahoma" w:hAnsi="Tahoma" w:cs="Tahoma"/>
          <w:sz w:val="20"/>
        </w:rPr>
        <w:t xml:space="preserve">, </w:t>
      </w:r>
      <w:r>
        <w:rPr>
          <w:rFonts w:ascii="Tahoma" w:hAnsi="Tahoma" w:cs="Tahoma"/>
          <w:iCs/>
          <w:sz w:val="20"/>
        </w:rPr>
        <w:t>“Attuazione della legge 4 marzo 2009, n. 15, in materia di ottimizzazione della produttività del lavoro pubblico e di efficienza e trasparenza delle pubbliche amministrazioni”;</w:t>
      </w:r>
    </w:p>
    <w:p w:rsidR="00CC7B4D" w:rsidRDefault="00CC7B4D">
      <w:pPr>
        <w:pStyle w:val="Paragrafoelenco"/>
        <w:numPr>
          <w:ilvl w:val="0"/>
          <w:numId w:val="9"/>
        </w:numPr>
        <w:autoSpaceDE w:val="0"/>
        <w:spacing w:after="0"/>
        <w:ind w:left="426" w:hanging="426"/>
        <w:jc w:val="both"/>
      </w:pPr>
      <w:r>
        <w:rPr>
          <w:rFonts w:ascii="Tahoma" w:hAnsi="Tahoma" w:cs="Tahoma"/>
          <w:b/>
          <w:sz w:val="20"/>
        </w:rPr>
        <w:t>Legge 28 giugno 2012, n. 110</w:t>
      </w:r>
      <w:r>
        <w:rPr>
          <w:rFonts w:ascii="Tahoma" w:hAnsi="Tahoma" w:cs="Tahoma"/>
          <w:sz w:val="20"/>
        </w:rPr>
        <w:t xml:space="preserve">, </w:t>
      </w:r>
      <w:r>
        <w:rPr>
          <w:rFonts w:ascii="Tahoma" w:hAnsi="Tahoma" w:cs="Tahoma"/>
          <w:iCs/>
          <w:sz w:val="20"/>
        </w:rPr>
        <w:t>“Ratifica ed esecuzione della Convenzione penale sulla corruzione, fatta a Strasburgo il 27 gennaio 1999”;</w:t>
      </w:r>
    </w:p>
    <w:p w:rsidR="00CC7B4D" w:rsidRDefault="00CC7B4D">
      <w:pPr>
        <w:pStyle w:val="Paragrafoelenco"/>
        <w:numPr>
          <w:ilvl w:val="0"/>
          <w:numId w:val="9"/>
        </w:numPr>
        <w:autoSpaceDE w:val="0"/>
        <w:spacing w:after="0"/>
        <w:ind w:left="426" w:hanging="426"/>
        <w:jc w:val="both"/>
      </w:pPr>
      <w:r>
        <w:rPr>
          <w:rFonts w:ascii="Tahoma" w:hAnsi="Tahoma" w:cs="Tahoma"/>
          <w:b/>
          <w:sz w:val="20"/>
        </w:rPr>
        <w:t>Decreto-legge 6 luglio 2012, n. 95</w:t>
      </w:r>
      <w:r>
        <w:rPr>
          <w:rFonts w:ascii="Tahoma" w:hAnsi="Tahoma" w:cs="Tahoma"/>
          <w:sz w:val="20"/>
        </w:rPr>
        <w:t>, “</w:t>
      </w:r>
      <w:r>
        <w:rPr>
          <w:rFonts w:ascii="Tahoma" w:hAnsi="Tahoma" w:cs="Tahoma"/>
          <w:iCs/>
          <w:sz w:val="20"/>
        </w:rPr>
        <w:t>Disposizioni urgenti per la revisione della spesa pubblica con invarianza dei servizi ai cittadini (nonché misure di rafforzamento patrimoniale delle imprese del settore bancario)”</w:t>
      </w:r>
      <w:r>
        <w:rPr>
          <w:rFonts w:ascii="Tahoma" w:hAnsi="Tahoma" w:cs="Tahoma"/>
          <w:sz w:val="20"/>
        </w:rPr>
        <w:t>, convertito in legge, con modificazioni, dalla legge 7 agosto 2012, n. 135;</w:t>
      </w:r>
    </w:p>
    <w:p w:rsidR="00CC7B4D" w:rsidRDefault="00CC7B4D">
      <w:pPr>
        <w:pStyle w:val="Paragrafoelenco"/>
        <w:numPr>
          <w:ilvl w:val="0"/>
          <w:numId w:val="9"/>
        </w:numPr>
        <w:autoSpaceDE w:val="0"/>
        <w:spacing w:after="0"/>
        <w:ind w:left="426" w:hanging="426"/>
        <w:jc w:val="both"/>
      </w:pPr>
      <w:r>
        <w:rPr>
          <w:rFonts w:ascii="Tahoma" w:hAnsi="Tahoma" w:cs="Tahoma"/>
          <w:b/>
          <w:sz w:val="20"/>
        </w:rPr>
        <w:t>Decreto-legge 18 ottobre 2012, n. 179</w:t>
      </w:r>
      <w:r>
        <w:rPr>
          <w:rFonts w:ascii="Tahoma" w:hAnsi="Tahoma" w:cs="Tahoma"/>
          <w:sz w:val="20"/>
        </w:rPr>
        <w:t>, “</w:t>
      </w:r>
      <w:r>
        <w:rPr>
          <w:rFonts w:ascii="Tahoma" w:hAnsi="Tahoma" w:cs="Tahoma"/>
          <w:iCs/>
          <w:sz w:val="20"/>
        </w:rPr>
        <w:t>Ulteriori misure urgenti per la crescita del Paese</w:t>
      </w:r>
      <w:r>
        <w:rPr>
          <w:rFonts w:ascii="Tahoma" w:hAnsi="Tahoma" w:cs="Tahoma"/>
          <w:sz w:val="20"/>
        </w:rPr>
        <w:t>”. (articolo 34-</w:t>
      </w:r>
      <w:r>
        <w:rPr>
          <w:rFonts w:ascii="Tahoma" w:hAnsi="Tahoma" w:cs="Tahoma"/>
          <w:iCs/>
          <w:sz w:val="20"/>
        </w:rPr>
        <w:t>bis</w:t>
      </w:r>
      <w:r>
        <w:rPr>
          <w:rFonts w:ascii="Tahoma" w:hAnsi="Tahoma" w:cs="Tahoma"/>
          <w:sz w:val="20"/>
        </w:rPr>
        <w:t>. “Autorità nazionale anticorruzione”);</w:t>
      </w:r>
    </w:p>
    <w:p w:rsidR="00CC7B4D" w:rsidRDefault="00CC7B4D">
      <w:pPr>
        <w:pStyle w:val="Paragrafoelenco"/>
        <w:numPr>
          <w:ilvl w:val="0"/>
          <w:numId w:val="9"/>
        </w:numPr>
        <w:autoSpaceDE w:val="0"/>
        <w:spacing w:after="0"/>
        <w:ind w:left="426" w:hanging="426"/>
        <w:jc w:val="both"/>
      </w:pPr>
      <w:r>
        <w:rPr>
          <w:rFonts w:ascii="Tahoma" w:hAnsi="Tahoma" w:cs="Tahoma"/>
          <w:b/>
          <w:sz w:val="20"/>
        </w:rPr>
        <w:t>Legge 6 novembre 2012, n. 190</w:t>
      </w:r>
      <w:r>
        <w:rPr>
          <w:rFonts w:ascii="Tahoma" w:hAnsi="Tahoma" w:cs="Tahoma"/>
          <w:sz w:val="20"/>
        </w:rPr>
        <w:t>, “</w:t>
      </w:r>
      <w:r>
        <w:rPr>
          <w:rFonts w:ascii="Tahoma" w:hAnsi="Tahoma" w:cs="Tahoma"/>
          <w:iCs/>
          <w:sz w:val="20"/>
        </w:rPr>
        <w:t>Disposizioni per la prevenzione e la repressione della corruzione e dell’illegalità nella pubblica amministrazione</w:t>
      </w:r>
      <w:r>
        <w:rPr>
          <w:rFonts w:ascii="Tahoma" w:hAnsi="Tahoma" w:cs="Tahoma"/>
          <w:sz w:val="20"/>
        </w:rPr>
        <w:t>”;</w:t>
      </w:r>
    </w:p>
    <w:p w:rsidR="00CC7B4D" w:rsidRDefault="00CC7B4D">
      <w:pPr>
        <w:numPr>
          <w:ilvl w:val="0"/>
          <w:numId w:val="9"/>
        </w:numPr>
        <w:spacing w:after="0"/>
        <w:ind w:left="426" w:hanging="426"/>
        <w:jc w:val="both"/>
      </w:pPr>
      <w:r>
        <w:rPr>
          <w:rFonts w:ascii="Tahoma" w:eastAsia="Times New Roman" w:hAnsi="Tahoma" w:cs="Tahoma"/>
          <w:b/>
          <w:sz w:val="20"/>
          <w:szCs w:val="20"/>
        </w:rPr>
        <w:t xml:space="preserve">Decreto legislativo 31 dicembre 2012, n. 235 </w:t>
      </w:r>
      <w:r>
        <w:rPr>
          <w:rFonts w:ascii="Tahoma" w:eastAsia="Times New Roman" w:hAnsi="Tahoma" w:cs="Tahoma"/>
          <w:sz w:val="20"/>
          <w:szCs w:val="20"/>
        </w:rPr>
        <w:t>“Testo unico delle disposizioni in materia di incandidabilità</w:t>
      </w:r>
      <w:r>
        <w:rPr>
          <w:rFonts w:ascii="Tahoma" w:eastAsia="Times New Roman" w:hAnsi="Tahoma" w:cs="Tahoma"/>
          <w:b/>
          <w:sz w:val="20"/>
          <w:szCs w:val="20"/>
        </w:rPr>
        <w:t xml:space="preserve"> </w:t>
      </w:r>
      <w:r>
        <w:rPr>
          <w:rFonts w:ascii="Tahoma" w:eastAsia="Times New Roman" w:hAnsi="Tahoma" w:cs="Tahoma"/>
          <w:sz w:val="20"/>
          <w:szCs w:val="20"/>
        </w:rPr>
        <w:t>e di divieto di ricoprire cariche elettive e di Governo conseguenti a sentenze definitive di condanna per delitti non colposi, a norma dell'articolo 1, comma 63, della legge 6 novembre 2012, n. 190”;</w:t>
      </w:r>
    </w:p>
    <w:p w:rsidR="00CC7B4D" w:rsidRDefault="00CC7B4D">
      <w:pPr>
        <w:pStyle w:val="Paragrafoelenco"/>
        <w:numPr>
          <w:ilvl w:val="0"/>
          <w:numId w:val="9"/>
        </w:numPr>
        <w:autoSpaceDE w:val="0"/>
        <w:spacing w:after="0"/>
        <w:ind w:left="426" w:hanging="426"/>
        <w:jc w:val="both"/>
      </w:pPr>
      <w:r>
        <w:rPr>
          <w:rFonts w:ascii="Tahoma" w:hAnsi="Tahoma" w:cs="Tahoma"/>
          <w:b/>
          <w:sz w:val="20"/>
        </w:rPr>
        <w:t>Legge 17 dicembre 2012, n. 221</w:t>
      </w:r>
      <w:r>
        <w:rPr>
          <w:rFonts w:ascii="Tahoma" w:hAnsi="Tahoma" w:cs="Tahoma"/>
          <w:sz w:val="20"/>
        </w:rPr>
        <w:t xml:space="preserve">, </w:t>
      </w:r>
      <w:r>
        <w:rPr>
          <w:rFonts w:ascii="Tahoma" w:hAnsi="Tahoma" w:cs="Tahoma"/>
          <w:iCs/>
          <w:sz w:val="20"/>
        </w:rPr>
        <w:t>“Conversione in legge, con modificazioni, del decreto-legge 18 ottobre 2012, n. 179, recante ulteriori misure urgenti per la crescita del Paese”;</w:t>
      </w:r>
    </w:p>
    <w:p w:rsidR="00CC7B4D" w:rsidRDefault="00CC7B4D">
      <w:pPr>
        <w:pStyle w:val="Paragrafoelenco"/>
        <w:numPr>
          <w:ilvl w:val="0"/>
          <w:numId w:val="9"/>
        </w:numPr>
        <w:autoSpaceDE w:val="0"/>
        <w:spacing w:after="0"/>
        <w:ind w:left="426" w:hanging="426"/>
        <w:jc w:val="both"/>
      </w:pPr>
      <w:r>
        <w:rPr>
          <w:rFonts w:ascii="Tahoma" w:hAnsi="Tahoma" w:cs="Tahoma"/>
          <w:b/>
          <w:sz w:val="20"/>
        </w:rPr>
        <w:t>Decreto del Presidente del Consiglio dei Ministri 16 gennaio 2013</w:t>
      </w:r>
      <w:r>
        <w:rPr>
          <w:rFonts w:ascii="Tahoma" w:hAnsi="Tahoma" w:cs="Tahoma"/>
          <w:sz w:val="20"/>
        </w:rPr>
        <w:t>, contenente le linee di indirizzo del Comitato interministeriale per la predisposizione, da parte del Dipartimento della Funzione Pubblica, del Piano nazionale anticorruzione di cui alla legge 6 novembre 2012, n. 190;</w:t>
      </w:r>
    </w:p>
    <w:p w:rsidR="00CC7B4D" w:rsidRDefault="00CC7B4D">
      <w:pPr>
        <w:pStyle w:val="Paragrafoelenco"/>
        <w:numPr>
          <w:ilvl w:val="0"/>
          <w:numId w:val="9"/>
        </w:numPr>
        <w:autoSpaceDE w:val="0"/>
        <w:spacing w:after="0"/>
        <w:ind w:left="426" w:hanging="426"/>
        <w:jc w:val="both"/>
      </w:pPr>
      <w:r>
        <w:rPr>
          <w:rFonts w:ascii="Tahoma" w:hAnsi="Tahoma" w:cs="Tahoma"/>
          <w:b/>
          <w:sz w:val="20"/>
        </w:rPr>
        <w:t>Circolare n. 1 del 25 gennaio 2013</w:t>
      </w:r>
      <w:r>
        <w:rPr>
          <w:rFonts w:ascii="Tahoma" w:hAnsi="Tahoma" w:cs="Tahoma"/>
          <w:sz w:val="20"/>
        </w:rPr>
        <w:t xml:space="preserve"> della Presidenza del Consiglio dei Ministri, Dipartimento della Funzione Pubblica;</w:t>
      </w:r>
    </w:p>
    <w:p w:rsidR="00CC7B4D" w:rsidRDefault="00CC7B4D">
      <w:pPr>
        <w:pStyle w:val="Paragrafoelenco"/>
        <w:numPr>
          <w:ilvl w:val="0"/>
          <w:numId w:val="9"/>
        </w:numPr>
        <w:autoSpaceDE w:val="0"/>
        <w:spacing w:after="0"/>
        <w:ind w:left="426" w:hanging="426"/>
        <w:jc w:val="both"/>
      </w:pPr>
      <w:r>
        <w:rPr>
          <w:rFonts w:ascii="Tahoma" w:hAnsi="Tahoma" w:cs="Tahoma"/>
          <w:b/>
          <w:sz w:val="20"/>
        </w:rPr>
        <w:t>Linee di indirizzo del 13 marzo 2013</w:t>
      </w:r>
      <w:r>
        <w:rPr>
          <w:rFonts w:ascii="Tahoma" w:hAnsi="Tahoma" w:cs="Tahoma"/>
          <w:sz w:val="20"/>
        </w:rPr>
        <w:t xml:space="preserve"> del Comitato Interministeriale per la prevenzione e il contrasto della corruzione e dell’illegalità nella pubblica amministrazione per la predisposizione del Piano Nazionale Anticorruzione;</w:t>
      </w:r>
    </w:p>
    <w:p w:rsidR="00CC7B4D" w:rsidRDefault="00CC7B4D">
      <w:pPr>
        <w:pStyle w:val="Paragrafoelenco"/>
        <w:numPr>
          <w:ilvl w:val="0"/>
          <w:numId w:val="9"/>
        </w:numPr>
        <w:autoSpaceDE w:val="0"/>
        <w:spacing w:after="0"/>
        <w:ind w:left="426" w:hanging="426"/>
        <w:jc w:val="both"/>
      </w:pPr>
      <w:r>
        <w:rPr>
          <w:rFonts w:ascii="Tahoma" w:hAnsi="Tahoma" w:cs="Tahoma"/>
          <w:b/>
          <w:sz w:val="20"/>
        </w:rPr>
        <w:t>Decreto legislativo 14 marzo 2013, n. 33</w:t>
      </w:r>
      <w:r>
        <w:rPr>
          <w:rFonts w:ascii="Tahoma" w:hAnsi="Tahoma" w:cs="Tahoma"/>
          <w:sz w:val="20"/>
        </w:rPr>
        <w:t xml:space="preserve">, </w:t>
      </w:r>
      <w:r>
        <w:rPr>
          <w:rFonts w:ascii="Tahoma" w:hAnsi="Tahoma" w:cs="Tahoma"/>
          <w:iCs/>
          <w:sz w:val="20"/>
        </w:rPr>
        <w:t>“Riordino della disciplina riguardante gli obblighi di pubblicità, trasparenza e diffusione di informazioni da parte delle pubbliche amministrazioni”;</w:t>
      </w:r>
    </w:p>
    <w:p w:rsidR="00CC7B4D" w:rsidRDefault="00CC7B4D">
      <w:pPr>
        <w:pStyle w:val="Paragrafoelenco"/>
        <w:numPr>
          <w:ilvl w:val="0"/>
          <w:numId w:val="9"/>
        </w:numPr>
        <w:autoSpaceDE w:val="0"/>
        <w:spacing w:after="0"/>
        <w:ind w:left="426" w:hanging="426"/>
        <w:jc w:val="both"/>
      </w:pPr>
      <w:r>
        <w:rPr>
          <w:rFonts w:ascii="Tahoma" w:hAnsi="Tahoma" w:cs="Tahoma"/>
          <w:b/>
          <w:sz w:val="20"/>
        </w:rPr>
        <w:t>Decreto legislativo 8 aprile 2013, n. 39</w:t>
      </w:r>
      <w:r>
        <w:rPr>
          <w:rFonts w:ascii="Tahoma" w:hAnsi="Tahoma" w:cs="Tahoma"/>
          <w:sz w:val="20"/>
        </w:rPr>
        <w:t xml:space="preserve">, </w:t>
      </w:r>
      <w:r>
        <w:rPr>
          <w:rFonts w:ascii="Tahoma" w:hAnsi="Tahoma" w:cs="Tahoma"/>
          <w:iCs/>
          <w:sz w:val="20"/>
        </w:rPr>
        <w:t>“Disposizioni in materia di inconferibilità e incompatibilità di incarichi presso le pubbliche amministrazioni e presso gli enti privati in controllo pubblico, a norma dell'articolo 1, commi 49 e 50, della legge 6 novembre 2012, n. 190”;</w:t>
      </w:r>
    </w:p>
    <w:p w:rsidR="00CC7B4D" w:rsidRDefault="00CC7B4D">
      <w:pPr>
        <w:pStyle w:val="Paragrafoelenco"/>
        <w:numPr>
          <w:ilvl w:val="0"/>
          <w:numId w:val="9"/>
        </w:numPr>
        <w:autoSpaceDE w:val="0"/>
        <w:spacing w:after="0"/>
        <w:ind w:left="426" w:hanging="426"/>
        <w:jc w:val="both"/>
      </w:pPr>
      <w:r>
        <w:rPr>
          <w:rFonts w:ascii="Tahoma" w:hAnsi="Tahoma" w:cs="Tahoma"/>
          <w:b/>
          <w:sz w:val="20"/>
        </w:rPr>
        <w:t>Decreto del Presidente della Repubblica 16 aprile 2013, n. 62</w:t>
      </w:r>
      <w:r>
        <w:rPr>
          <w:rFonts w:ascii="Tahoma" w:hAnsi="Tahoma" w:cs="Tahoma"/>
          <w:sz w:val="20"/>
        </w:rPr>
        <w:t xml:space="preserve">, </w:t>
      </w:r>
      <w:r>
        <w:rPr>
          <w:rFonts w:ascii="Tahoma" w:hAnsi="Tahoma" w:cs="Tahoma"/>
          <w:iCs/>
          <w:sz w:val="20"/>
        </w:rPr>
        <w:t>“Regolamento recante codice di comportamento dei dipendenti pubblici, a norma dell'articolo 54 del decreto legislativo 30 marzo 2001, n. 165”;</w:t>
      </w:r>
    </w:p>
    <w:p w:rsidR="00CC7B4D" w:rsidRDefault="00CC7B4D">
      <w:pPr>
        <w:pStyle w:val="Paragrafoelenco"/>
        <w:numPr>
          <w:ilvl w:val="0"/>
          <w:numId w:val="9"/>
        </w:numPr>
        <w:autoSpaceDE w:val="0"/>
        <w:spacing w:after="0"/>
        <w:ind w:left="426" w:hanging="426"/>
        <w:jc w:val="both"/>
      </w:pPr>
      <w:r>
        <w:rPr>
          <w:rFonts w:ascii="Tahoma" w:hAnsi="Tahoma" w:cs="Tahoma"/>
          <w:b/>
          <w:sz w:val="20"/>
        </w:rPr>
        <w:t>Intesa n. 74/CU in data 24 luglio 2013</w:t>
      </w:r>
      <w:r>
        <w:rPr>
          <w:rFonts w:ascii="Tahoma" w:hAnsi="Tahoma" w:cs="Tahoma"/>
          <w:sz w:val="20"/>
        </w:rPr>
        <w:t xml:space="preserve"> sancita dalla Conferenza Unificata tra Governo, Regioni ed Enti Locali per l’attuazione dell’articolo 1, commi 60 e 61, della legge 6 novembre 2012, n. 190, recante “</w:t>
      </w:r>
      <w:r>
        <w:rPr>
          <w:rFonts w:ascii="Tahoma" w:hAnsi="Tahoma" w:cs="Tahoma"/>
          <w:iCs/>
          <w:sz w:val="20"/>
        </w:rPr>
        <w:t>Disposizioni per la prevenzione e la repressione della corruzione e dell’illegalità nella pubblica amministrazione</w:t>
      </w:r>
      <w:r>
        <w:rPr>
          <w:rFonts w:ascii="Tahoma" w:hAnsi="Tahoma" w:cs="Tahoma"/>
          <w:sz w:val="20"/>
        </w:rPr>
        <w:t>”;</w:t>
      </w:r>
    </w:p>
    <w:p w:rsidR="00CC7B4D" w:rsidRDefault="00CC7B4D">
      <w:pPr>
        <w:pStyle w:val="Paragrafoelenco"/>
        <w:numPr>
          <w:ilvl w:val="0"/>
          <w:numId w:val="9"/>
        </w:numPr>
        <w:autoSpaceDE w:val="0"/>
        <w:spacing w:after="0"/>
        <w:ind w:left="426" w:hanging="426"/>
        <w:jc w:val="both"/>
      </w:pPr>
      <w:r>
        <w:rPr>
          <w:rFonts w:ascii="Tahoma" w:hAnsi="Tahoma" w:cs="Tahoma"/>
          <w:b/>
          <w:sz w:val="20"/>
        </w:rPr>
        <w:lastRenderedPageBreak/>
        <w:t>Deliberazione numero 71/2013 in data 1 agosto 2013</w:t>
      </w:r>
      <w:r>
        <w:rPr>
          <w:rFonts w:ascii="Tahoma" w:hAnsi="Tahoma" w:cs="Tahoma"/>
          <w:sz w:val="20"/>
        </w:rPr>
        <w:t xml:space="preserve"> dell’Autorità Nazionale Anticorruzione, recante </w:t>
      </w:r>
      <w:r>
        <w:rPr>
          <w:rFonts w:ascii="Tahoma" w:hAnsi="Tahoma" w:cs="Tahoma"/>
          <w:iCs/>
          <w:sz w:val="20"/>
        </w:rPr>
        <w:t>“Attestazioni OIV sull’assolvimento di specifici obblighi di pubblicazione per l’anno 2013 e attività di vigilanza e controllo della Commissione”;</w:t>
      </w:r>
    </w:p>
    <w:p w:rsidR="00CC7B4D" w:rsidRDefault="00CC7B4D">
      <w:pPr>
        <w:pStyle w:val="Paragrafoelenco"/>
        <w:numPr>
          <w:ilvl w:val="0"/>
          <w:numId w:val="3"/>
        </w:numPr>
        <w:autoSpaceDE w:val="0"/>
        <w:spacing w:after="0"/>
        <w:ind w:left="426" w:right="20" w:hanging="426"/>
        <w:jc w:val="both"/>
      </w:pPr>
      <w:r>
        <w:rPr>
          <w:rFonts w:ascii="Tahoma" w:hAnsi="Tahoma" w:cs="Tahoma"/>
          <w:b/>
          <w:sz w:val="20"/>
        </w:rPr>
        <w:t>Deliberazione numero 72/2013 in data 11 settembre 2013</w:t>
      </w:r>
      <w:r>
        <w:rPr>
          <w:rFonts w:ascii="Tahoma" w:hAnsi="Tahoma" w:cs="Tahoma"/>
          <w:sz w:val="20"/>
        </w:rPr>
        <w:t xml:space="preserve"> dell’Autorità Nazionale Anticorruzione, recante </w:t>
      </w:r>
      <w:r>
        <w:rPr>
          <w:rFonts w:ascii="Tahoma" w:hAnsi="Tahoma" w:cs="Tahoma"/>
          <w:iCs/>
          <w:sz w:val="20"/>
        </w:rPr>
        <w:t>“Approvazione del Piano Nazionale Anticorruzione”;</w:t>
      </w:r>
    </w:p>
    <w:p w:rsidR="00CC7B4D" w:rsidRDefault="00CC7B4D">
      <w:pPr>
        <w:pStyle w:val="Paragrafoelenco"/>
        <w:numPr>
          <w:ilvl w:val="0"/>
          <w:numId w:val="3"/>
        </w:numPr>
        <w:autoSpaceDE w:val="0"/>
        <w:spacing w:after="0"/>
        <w:ind w:left="426" w:right="20" w:hanging="426"/>
        <w:jc w:val="both"/>
      </w:pPr>
      <w:r>
        <w:rPr>
          <w:rFonts w:ascii="Tahoma" w:eastAsia="Times New Roman" w:hAnsi="Tahoma" w:cs="Tahoma"/>
          <w:b/>
          <w:sz w:val="20"/>
          <w:szCs w:val="20"/>
        </w:rPr>
        <w:t>Decreto Legge 24 giugno 2014 n. 90</w:t>
      </w:r>
      <w:r>
        <w:rPr>
          <w:rFonts w:ascii="Tahoma" w:eastAsia="Times New Roman" w:hAnsi="Tahoma" w:cs="Tahoma"/>
          <w:sz w:val="20"/>
          <w:szCs w:val="20"/>
        </w:rPr>
        <w:t>, recante “Misure urgenti per la semplificazione e la trasparenza amministrativa e per l’efficienza degli uffici giudiziari”, convertito con modificazioni nella Legge 114/2014, che ha disposto il trasferimento all’ANAC delle funzioni attribuite al Dipartimento della Funzione Pubblica in materia di prevenzione della corruzione di cui all’art. 1, commi 4, 5 e 8 della Legge 190/2012, e in materia di trasparenza di cui all’art. 48 del d.lgs. 33/2013;</w:t>
      </w:r>
    </w:p>
    <w:p w:rsidR="00CC7B4D" w:rsidRDefault="00CC7B4D">
      <w:pPr>
        <w:numPr>
          <w:ilvl w:val="0"/>
          <w:numId w:val="4"/>
        </w:numPr>
        <w:spacing w:after="0"/>
        <w:ind w:left="426" w:hanging="426"/>
        <w:jc w:val="both"/>
      </w:pPr>
      <w:r>
        <w:rPr>
          <w:rFonts w:ascii="Tahoma" w:eastAsia="Times New Roman" w:hAnsi="Tahoma" w:cs="Tahoma"/>
          <w:b/>
          <w:sz w:val="20"/>
          <w:szCs w:val="20"/>
        </w:rPr>
        <w:t xml:space="preserve">Legge n. 124 del 13 agosto 2015, art. 7 </w:t>
      </w:r>
      <w:r>
        <w:rPr>
          <w:rFonts w:ascii="Tahoma" w:eastAsia="Times New Roman" w:hAnsi="Tahoma" w:cs="Tahoma"/>
          <w:sz w:val="20"/>
          <w:szCs w:val="20"/>
        </w:rPr>
        <w:t>“Deleghe al governo in materia di riorganizzazione delle pubbliche</w:t>
      </w:r>
      <w:r>
        <w:rPr>
          <w:rFonts w:ascii="Tahoma" w:eastAsia="Times New Roman" w:hAnsi="Tahoma" w:cs="Tahoma"/>
          <w:b/>
          <w:sz w:val="20"/>
          <w:szCs w:val="20"/>
        </w:rPr>
        <w:t xml:space="preserve"> </w:t>
      </w:r>
      <w:r>
        <w:rPr>
          <w:rFonts w:ascii="Tahoma" w:eastAsia="Times New Roman" w:hAnsi="Tahoma" w:cs="Tahoma"/>
          <w:sz w:val="20"/>
          <w:szCs w:val="20"/>
        </w:rPr>
        <w:t>amministrazioni”;</w:t>
      </w:r>
    </w:p>
    <w:p w:rsidR="00CC7B4D" w:rsidRDefault="00CC7B4D">
      <w:pPr>
        <w:numPr>
          <w:ilvl w:val="0"/>
          <w:numId w:val="4"/>
        </w:numPr>
        <w:spacing w:after="0"/>
        <w:ind w:left="426" w:hanging="426"/>
        <w:jc w:val="both"/>
      </w:pPr>
      <w:r>
        <w:rPr>
          <w:rFonts w:ascii="Tahoma" w:eastAsia="Times New Roman" w:hAnsi="Tahoma" w:cs="Tahoma"/>
          <w:b/>
          <w:sz w:val="20"/>
          <w:szCs w:val="20"/>
        </w:rPr>
        <w:t>Legge n. 208 del 28 dicembre 2015</w:t>
      </w:r>
      <w:r>
        <w:rPr>
          <w:rFonts w:ascii="Tahoma" w:eastAsia="Times New Roman" w:hAnsi="Tahoma" w:cs="Tahoma"/>
          <w:sz w:val="20"/>
          <w:szCs w:val="20"/>
        </w:rPr>
        <w:t>,</w:t>
      </w:r>
      <w:r>
        <w:rPr>
          <w:rFonts w:ascii="Tahoma" w:eastAsia="Times New Roman" w:hAnsi="Tahoma" w:cs="Tahoma"/>
          <w:b/>
          <w:sz w:val="20"/>
          <w:szCs w:val="20"/>
        </w:rPr>
        <w:t xml:space="preserve"> </w:t>
      </w:r>
      <w:r>
        <w:rPr>
          <w:rFonts w:ascii="Tahoma" w:eastAsia="Times New Roman" w:hAnsi="Tahoma" w:cs="Tahoma"/>
          <w:sz w:val="20"/>
          <w:szCs w:val="20"/>
        </w:rPr>
        <w:t>“Disposizioni per la formazione del bilancio annuale</w:t>
      </w:r>
      <w:r>
        <w:rPr>
          <w:rFonts w:ascii="Tahoma" w:eastAsia="Times New Roman" w:hAnsi="Tahoma" w:cs="Tahoma"/>
          <w:b/>
          <w:sz w:val="20"/>
          <w:szCs w:val="20"/>
        </w:rPr>
        <w:t xml:space="preserve"> </w:t>
      </w:r>
      <w:r>
        <w:rPr>
          <w:rFonts w:ascii="Tahoma" w:eastAsia="Times New Roman" w:hAnsi="Tahoma" w:cs="Tahoma"/>
          <w:sz w:val="20"/>
          <w:szCs w:val="20"/>
        </w:rPr>
        <w:t>e pluriennale dello</w:t>
      </w:r>
      <w:r>
        <w:rPr>
          <w:rFonts w:ascii="Tahoma" w:eastAsia="Times New Roman" w:hAnsi="Tahoma" w:cs="Tahoma"/>
          <w:b/>
          <w:sz w:val="20"/>
          <w:szCs w:val="20"/>
        </w:rPr>
        <w:t xml:space="preserve"> </w:t>
      </w:r>
      <w:r>
        <w:rPr>
          <w:rFonts w:ascii="Tahoma" w:eastAsia="Times New Roman" w:hAnsi="Tahoma" w:cs="Tahoma"/>
          <w:sz w:val="20"/>
          <w:szCs w:val="20"/>
        </w:rPr>
        <w:t>Stato“ (c.d. legge di stabilità);</w:t>
      </w:r>
    </w:p>
    <w:p w:rsidR="00CC7B4D" w:rsidRDefault="00CC7B4D">
      <w:pPr>
        <w:numPr>
          <w:ilvl w:val="0"/>
          <w:numId w:val="4"/>
        </w:numPr>
        <w:spacing w:after="0"/>
        <w:ind w:left="426" w:hanging="426"/>
        <w:jc w:val="both"/>
      </w:pPr>
      <w:r>
        <w:rPr>
          <w:rFonts w:ascii="Tahoma" w:eastAsia="Times New Roman" w:hAnsi="Tahoma" w:cs="Tahoma"/>
          <w:b/>
          <w:sz w:val="20"/>
          <w:szCs w:val="20"/>
        </w:rPr>
        <w:t xml:space="preserve">Decreto legislativo n. 50 del 18 aprile 2016 </w:t>
      </w:r>
      <w:r>
        <w:rPr>
          <w:rFonts w:ascii="Tahoma" w:eastAsia="Times New Roman" w:hAnsi="Tahoma" w:cs="Tahoma"/>
          <w:sz w:val="20"/>
          <w:szCs w:val="20"/>
        </w:rPr>
        <w:t>“Attuazione delle direttive 2014/23/UE, 2014/24/UE e</w:t>
      </w:r>
      <w:r>
        <w:rPr>
          <w:rFonts w:ascii="Tahoma" w:eastAsia="Times New Roman" w:hAnsi="Tahoma" w:cs="Tahoma"/>
          <w:b/>
          <w:sz w:val="20"/>
          <w:szCs w:val="20"/>
        </w:rPr>
        <w:t xml:space="preserve"> </w:t>
      </w:r>
      <w:r>
        <w:rPr>
          <w:rFonts w:ascii="Tahoma" w:eastAsia="Times New Roman" w:hAnsi="Tahoma" w:cs="Tahoma"/>
          <w:sz w:val="20"/>
          <w:szCs w:val="20"/>
        </w:rPr>
        <w:t>2104/25/UE sull’aggiudicazione dei contratti di concessione, sugli appalti pubblici e sulle procedure di appalto degli enti erogatori nei settori dell’acqua, dell’energia, dei trasporti e dei servizi postali, nonché per il riordino della disciplina vigente in materia di contratti pubblici relativi a lavori, servizi e forniture”;</w:t>
      </w:r>
    </w:p>
    <w:p w:rsidR="00CC7B4D" w:rsidRDefault="00CC7B4D">
      <w:pPr>
        <w:numPr>
          <w:ilvl w:val="0"/>
          <w:numId w:val="4"/>
        </w:numPr>
        <w:spacing w:after="0"/>
        <w:ind w:left="426" w:hanging="426"/>
        <w:jc w:val="both"/>
      </w:pPr>
      <w:r>
        <w:rPr>
          <w:rFonts w:ascii="Tahoma" w:eastAsia="Times New Roman" w:hAnsi="Tahoma" w:cs="Tahoma"/>
          <w:b/>
          <w:sz w:val="20"/>
          <w:szCs w:val="20"/>
        </w:rPr>
        <w:t xml:space="preserve">Decreto legislativo n. 116 del 20 giugno 2016 </w:t>
      </w:r>
      <w:r>
        <w:rPr>
          <w:rFonts w:ascii="Tahoma" w:eastAsia="Times New Roman" w:hAnsi="Tahoma" w:cs="Tahoma"/>
          <w:sz w:val="20"/>
          <w:szCs w:val="20"/>
        </w:rPr>
        <w:t>“Modifiche all'articolo 55-quater del decreto legislativo 30</w:t>
      </w:r>
      <w:r>
        <w:rPr>
          <w:rFonts w:ascii="Tahoma" w:eastAsia="Times New Roman" w:hAnsi="Tahoma" w:cs="Tahoma"/>
          <w:b/>
          <w:sz w:val="20"/>
          <w:szCs w:val="20"/>
        </w:rPr>
        <w:t xml:space="preserve"> </w:t>
      </w:r>
      <w:r>
        <w:rPr>
          <w:rFonts w:ascii="Tahoma" w:eastAsia="Times New Roman" w:hAnsi="Tahoma" w:cs="Tahoma"/>
          <w:sz w:val="20"/>
          <w:szCs w:val="20"/>
        </w:rPr>
        <w:t>marzo 2001, n. 165, ai sensi dell'articolo 17, comma 1, lettera s), della legge 7 agosto 2015, n. 124, in materia di licenziamento disciplinare;</w:t>
      </w:r>
    </w:p>
    <w:p w:rsidR="00CC7B4D" w:rsidRDefault="00CC7B4D">
      <w:pPr>
        <w:numPr>
          <w:ilvl w:val="0"/>
          <w:numId w:val="4"/>
        </w:numPr>
        <w:spacing w:after="0"/>
        <w:ind w:left="426" w:hanging="426"/>
        <w:jc w:val="both"/>
      </w:pPr>
      <w:r>
        <w:rPr>
          <w:rFonts w:ascii="Tahoma" w:eastAsia="Times New Roman" w:hAnsi="Tahoma" w:cs="Tahoma"/>
          <w:b/>
          <w:sz w:val="20"/>
          <w:szCs w:val="20"/>
        </w:rPr>
        <w:t xml:space="preserve">Decreto legislativo n. 97 del 20 maggio 2016 </w:t>
      </w:r>
      <w:r>
        <w:rPr>
          <w:rFonts w:ascii="Tahoma" w:eastAsia="Times New Roman" w:hAnsi="Tahoma" w:cs="Tahoma"/>
          <w:sz w:val="20"/>
          <w:szCs w:val="20"/>
        </w:rPr>
        <w:t>“Revisione e semplificazione delle disposizioni in materia di</w:t>
      </w:r>
      <w:r>
        <w:rPr>
          <w:rFonts w:ascii="Tahoma" w:eastAsia="Times New Roman" w:hAnsi="Tahoma" w:cs="Tahoma"/>
          <w:b/>
          <w:sz w:val="20"/>
          <w:szCs w:val="20"/>
        </w:rPr>
        <w:t xml:space="preserve"> </w:t>
      </w:r>
      <w:r>
        <w:rPr>
          <w:rFonts w:ascii="Tahoma" w:eastAsia="Times New Roman" w:hAnsi="Tahoma" w:cs="Tahoma"/>
          <w:sz w:val="20"/>
          <w:szCs w:val="20"/>
        </w:rPr>
        <w:t>prevenzione della corruzione, pubblicità e trasparenza, correttivo della legge 6 novembre 2012, n. 190 e del decreto legislativo 14 marzo 2013, n. 33, ai sensi dell'articolo 7 della legge 7 agosto 2015, n. 124, in materia di riorganizzazione delle amministrazioni pubbliche”.</w:t>
      </w:r>
    </w:p>
    <w:p w:rsidR="00CC7B4D" w:rsidRDefault="00CC7B4D">
      <w:pPr>
        <w:spacing w:after="0"/>
        <w:ind w:left="7"/>
        <w:jc w:val="both"/>
        <w:rPr>
          <w:rFonts w:ascii="Tahoma" w:eastAsia="Book Antiqua" w:hAnsi="Tahoma" w:cs="Tahoma"/>
          <w:sz w:val="20"/>
          <w:szCs w:val="20"/>
        </w:rPr>
      </w:pPr>
    </w:p>
    <w:p w:rsidR="00CC7B4D" w:rsidRDefault="00CC7B4D">
      <w:pPr>
        <w:spacing w:after="0"/>
        <w:ind w:left="7"/>
        <w:jc w:val="both"/>
      </w:pPr>
      <w:r>
        <w:rPr>
          <w:rFonts w:ascii="Tahoma" w:eastAsia="Times New Roman" w:hAnsi="Tahoma" w:cs="Tahoma"/>
          <w:b/>
          <w:sz w:val="20"/>
          <w:szCs w:val="20"/>
        </w:rPr>
        <w:t>Norma di rinvio</w:t>
      </w:r>
    </w:p>
    <w:p w:rsidR="00CC7B4D" w:rsidRDefault="00CC7B4D">
      <w:pPr>
        <w:spacing w:after="0"/>
        <w:ind w:left="7"/>
        <w:jc w:val="both"/>
        <w:sectPr w:rsidR="00CC7B4D">
          <w:pgSz w:w="11906" w:h="16838"/>
          <w:pgMar w:top="1417" w:right="1127" w:bottom="1134" w:left="1134" w:header="720" w:footer="720" w:gutter="0"/>
          <w:cols w:space="720"/>
          <w:docGrid w:linePitch="360" w:charSpace="-2254"/>
        </w:sectPr>
      </w:pPr>
      <w:r>
        <w:rPr>
          <w:rFonts w:ascii="Tahoma" w:eastAsia="Times New Roman" w:hAnsi="Tahoma" w:cs="Tahoma"/>
          <w:sz w:val="20"/>
          <w:szCs w:val="20"/>
        </w:rPr>
        <w:t>Per tutto quanto non espressamente previsto nel presente Piano trovano applicazione le norme dettate dalla legge 6 novembre 2012, n. 190, e la vigente normativa statale e regionale in materia.</w:t>
      </w:r>
    </w:p>
    <w:p w:rsidR="00CC7B4D" w:rsidRPr="001804B1" w:rsidRDefault="00CC7B4D">
      <w:pPr>
        <w:spacing w:after="0"/>
        <w:jc w:val="both"/>
      </w:pPr>
      <w:r w:rsidRPr="001804B1">
        <w:rPr>
          <w:rFonts w:ascii="Tahoma" w:hAnsi="Tahoma" w:cs="Tahoma"/>
          <w:b/>
        </w:rPr>
        <w:lastRenderedPageBreak/>
        <w:t xml:space="preserve">Allegato </w:t>
      </w:r>
      <w:r w:rsidR="0066063A">
        <w:rPr>
          <w:rFonts w:ascii="Tahoma" w:hAnsi="Tahoma" w:cs="Tahoma"/>
          <w:b/>
        </w:rPr>
        <w:t>A</w:t>
      </w:r>
      <w:r w:rsidRPr="001804B1">
        <w:rPr>
          <w:rFonts w:ascii="Tahoma" w:hAnsi="Tahoma" w:cs="Tahoma"/>
          <w:b/>
        </w:rPr>
        <w:t xml:space="preserve"> – </w:t>
      </w:r>
      <w:r w:rsidR="001804B1" w:rsidRPr="001804B1">
        <w:rPr>
          <w:rFonts w:ascii="Tahoma" w:hAnsi="Tahoma" w:cs="Tahoma"/>
        </w:rPr>
        <w:t>Valutazione del Rischio, misure adottate e monitoraggio</w:t>
      </w:r>
    </w:p>
    <w:tbl>
      <w:tblPr>
        <w:tblW w:w="14681" w:type="dxa"/>
        <w:tblInd w:w="70" w:type="dxa"/>
        <w:tblLayout w:type="fixed"/>
        <w:tblCellMar>
          <w:left w:w="70" w:type="dxa"/>
          <w:right w:w="70" w:type="dxa"/>
        </w:tblCellMar>
        <w:tblLook w:val="0000"/>
      </w:tblPr>
      <w:tblGrid>
        <w:gridCol w:w="1913"/>
        <w:gridCol w:w="2391"/>
        <w:gridCol w:w="2409"/>
        <w:gridCol w:w="992"/>
        <w:gridCol w:w="2597"/>
        <w:gridCol w:w="1180"/>
        <w:gridCol w:w="992"/>
        <w:gridCol w:w="993"/>
        <w:gridCol w:w="1214"/>
      </w:tblGrid>
      <w:tr w:rsidR="00CC7B4D" w:rsidTr="00237E5F">
        <w:trPr>
          <w:trHeight w:val="532"/>
          <w:tblHeader/>
        </w:trPr>
        <w:tc>
          <w:tcPr>
            <w:tcW w:w="1913" w:type="dxa"/>
            <w:tcBorders>
              <w:top w:val="single" w:sz="4" w:space="0" w:color="000000"/>
              <w:left w:val="single" w:sz="4" w:space="0" w:color="000000"/>
              <w:bottom w:val="single" w:sz="4" w:space="0" w:color="000000"/>
            </w:tcBorders>
            <w:shd w:val="clear" w:color="auto" w:fill="auto"/>
            <w:vAlign w:val="center"/>
          </w:tcPr>
          <w:p w:rsidR="00CC7B4D" w:rsidRDefault="00CC7B4D">
            <w:pPr>
              <w:spacing w:after="0" w:line="240" w:lineRule="auto"/>
              <w:jc w:val="center"/>
            </w:pPr>
            <w:r>
              <w:rPr>
                <w:rFonts w:ascii="Tahoma" w:eastAsia="Times New Roman" w:hAnsi="Tahoma" w:cs="Tahoma"/>
                <w:b/>
                <w:bCs/>
                <w:color w:val="0D0D0D"/>
                <w:sz w:val="14"/>
                <w:szCs w:val="14"/>
                <w:lang w:eastAsia="it-IT"/>
              </w:rPr>
              <w:t>Macroprocesso</w:t>
            </w:r>
          </w:p>
        </w:tc>
        <w:tc>
          <w:tcPr>
            <w:tcW w:w="2391" w:type="dxa"/>
            <w:tcBorders>
              <w:top w:val="single" w:sz="4" w:space="0" w:color="000000"/>
              <w:left w:val="single" w:sz="4" w:space="0" w:color="000000"/>
              <w:bottom w:val="single" w:sz="4" w:space="0" w:color="000000"/>
            </w:tcBorders>
            <w:shd w:val="clear" w:color="auto" w:fill="auto"/>
            <w:vAlign w:val="center"/>
          </w:tcPr>
          <w:p w:rsidR="00CC7B4D" w:rsidRDefault="00CC7B4D">
            <w:pPr>
              <w:spacing w:after="0" w:line="240" w:lineRule="auto"/>
              <w:jc w:val="center"/>
            </w:pPr>
            <w:r>
              <w:rPr>
                <w:rFonts w:ascii="Tahoma" w:eastAsia="Times New Roman" w:hAnsi="Tahoma" w:cs="Tahoma"/>
                <w:b/>
                <w:bCs/>
                <w:color w:val="0D0D0D"/>
                <w:sz w:val="14"/>
                <w:szCs w:val="14"/>
                <w:lang w:eastAsia="it-IT"/>
              </w:rPr>
              <w:t>Processo</w:t>
            </w:r>
          </w:p>
        </w:tc>
        <w:tc>
          <w:tcPr>
            <w:tcW w:w="2409" w:type="dxa"/>
            <w:tcBorders>
              <w:top w:val="single" w:sz="4" w:space="0" w:color="000000"/>
              <w:left w:val="single" w:sz="4" w:space="0" w:color="000000"/>
              <w:bottom w:val="single" w:sz="4" w:space="0" w:color="000000"/>
            </w:tcBorders>
            <w:shd w:val="clear" w:color="auto" w:fill="auto"/>
            <w:vAlign w:val="center"/>
          </w:tcPr>
          <w:p w:rsidR="00CC7B4D" w:rsidRDefault="00CC7B4D">
            <w:pPr>
              <w:spacing w:after="0" w:line="240" w:lineRule="auto"/>
              <w:jc w:val="center"/>
            </w:pPr>
            <w:r>
              <w:rPr>
                <w:rFonts w:ascii="Tahoma" w:eastAsia="Times New Roman" w:hAnsi="Tahoma" w:cs="Tahoma"/>
                <w:b/>
                <w:bCs/>
                <w:color w:val="0D0D0D"/>
                <w:sz w:val="14"/>
                <w:szCs w:val="14"/>
                <w:lang w:eastAsia="it-IT"/>
              </w:rPr>
              <w:t>Rischio</w:t>
            </w:r>
          </w:p>
        </w:tc>
        <w:tc>
          <w:tcPr>
            <w:tcW w:w="992" w:type="dxa"/>
            <w:tcBorders>
              <w:top w:val="single" w:sz="4" w:space="0" w:color="000000"/>
              <w:left w:val="single" w:sz="4" w:space="0" w:color="000000"/>
              <w:bottom w:val="single" w:sz="4" w:space="0" w:color="000000"/>
            </w:tcBorders>
            <w:shd w:val="clear" w:color="auto" w:fill="auto"/>
            <w:vAlign w:val="center"/>
          </w:tcPr>
          <w:p w:rsidR="00CC7B4D" w:rsidRDefault="00CC7B4D">
            <w:pPr>
              <w:spacing w:after="0" w:line="240" w:lineRule="auto"/>
              <w:jc w:val="center"/>
            </w:pPr>
            <w:r>
              <w:rPr>
                <w:rFonts w:ascii="Tahoma" w:eastAsia="Times New Roman" w:hAnsi="Tahoma" w:cs="Tahoma"/>
                <w:b/>
                <w:bCs/>
                <w:color w:val="0D0D0D"/>
                <w:w w:val="98"/>
                <w:sz w:val="14"/>
                <w:szCs w:val="14"/>
                <w:lang w:eastAsia="it-IT"/>
              </w:rPr>
              <w:t>Valutazione complessiva del rischio</w:t>
            </w:r>
          </w:p>
        </w:tc>
        <w:tc>
          <w:tcPr>
            <w:tcW w:w="2597" w:type="dxa"/>
            <w:tcBorders>
              <w:top w:val="single" w:sz="4" w:space="0" w:color="000000"/>
              <w:left w:val="single" w:sz="4" w:space="0" w:color="000000"/>
              <w:bottom w:val="single" w:sz="4" w:space="0" w:color="000000"/>
            </w:tcBorders>
            <w:shd w:val="clear" w:color="auto" w:fill="auto"/>
            <w:vAlign w:val="center"/>
          </w:tcPr>
          <w:p w:rsidR="00CC7B4D" w:rsidRDefault="00CC7B4D">
            <w:pPr>
              <w:spacing w:after="0" w:line="240" w:lineRule="auto"/>
              <w:jc w:val="center"/>
            </w:pPr>
            <w:r>
              <w:rPr>
                <w:rFonts w:ascii="Tahoma" w:eastAsia="Times New Roman" w:hAnsi="Tahoma" w:cs="Tahoma"/>
                <w:b/>
                <w:bCs/>
                <w:color w:val="0D0D0D"/>
                <w:sz w:val="14"/>
                <w:szCs w:val="14"/>
                <w:lang w:eastAsia="it-IT"/>
              </w:rPr>
              <w:t>Misura/e OBBLIGATORIE e/o SPECIFICHE da adottare</w:t>
            </w:r>
          </w:p>
        </w:tc>
        <w:tc>
          <w:tcPr>
            <w:tcW w:w="1180" w:type="dxa"/>
            <w:tcBorders>
              <w:top w:val="single" w:sz="4" w:space="0" w:color="000000"/>
              <w:left w:val="single" w:sz="4" w:space="0" w:color="000000"/>
              <w:bottom w:val="single" w:sz="4" w:space="0" w:color="000000"/>
            </w:tcBorders>
            <w:shd w:val="clear" w:color="auto" w:fill="auto"/>
            <w:vAlign w:val="center"/>
          </w:tcPr>
          <w:p w:rsidR="00CC7B4D" w:rsidRDefault="00CC7B4D">
            <w:pPr>
              <w:spacing w:after="0" w:line="240" w:lineRule="auto"/>
              <w:jc w:val="center"/>
            </w:pPr>
            <w:r>
              <w:rPr>
                <w:rFonts w:ascii="Tahoma" w:eastAsia="Times New Roman" w:hAnsi="Tahoma" w:cs="Tahoma"/>
                <w:b/>
                <w:bCs/>
                <w:color w:val="0D0D0D"/>
                <w:w w:val="98"/>
                <w:sz w:val="14"/>
                <w:szCs w:val="14"/>
                <w:lang w:eastAsia="it-IT"/>
              </w:rPr>
              <w:t>Responsabile misura prevenzione</w:t>
            </w:r>
          </w:p>
        </w:tc>
        <w:tc>
          <w:tcPr>
            <w:tcW w:w="992" w:type="dxa"/>
            <w:tcBorders>
              <w:top w:val="single" w:sz="4" w:space="0" w:color="000000"/>
              <w:left w:val="single" w:sz="4" w:space="0" w:color="000000"/>
              <w:bottom w:val="single" w:sz="4" w:space="0" w:color="000000"/>
            </w:tcBorders>
            <w:shd w:val="clear" w:color="auto" w:fill="auto"/>
            <w:vAlign w:val="center"/>
          </w:tcPr>
          <w:p w:rsidR="00CC7B4D" w:rsidRDefault="00CC7B4D">
            <w:pPr>
              <w:spacing w:after="0" w:line="240" w:lineRule="auto"/>
              <w:jc w:val="center"/>
            </w:pPr>
            <w:r>
              <w:rPr>
                <w:rFonts w:ascii="Tahoma" w:eastAsia="Times New Roman" w:hAnsi="Tahoma" w:cs="Tahoma"/>
                <w:b/>
                <w:bCs/>
                <w:color w:val="0D0D0D"/>
                <w:sz w:val="14"/>
                <w:szCs w:val="14"/>
                <w:lang w:eastAsia="it-IT"/>
              </w:rPr>
              <w:t>Misure adottate</w:t>
            </w:r>
          </w:p>
        </w:tc>
        <w:tc>
          <w:tcPr>
            <w:tcW w:w="993" w:type="dxa"/>
            <w:tcBorders>
              <w:top w:val="single" w:sz="4" w:space="0" w:color="000000"/>
              <w:left w:val="single" w:sz="4" w:space="0" w:color="000000"/>
              <w:bottom w:val="single" w:sz="4" w:space="0" w:color="000000"/>
            </w:tcBorders>
            <w:shd w:val="clear" w:color="auto" w:fill="auto"/>
            <w:vAlign w:val="center"/>
          </w:tcPr>
          <w:p w:rsidR="00CC7B4D" w:rsidRDefault="00CC7B4D">
            <w:pPr>
              <w:spacing w:after="0" w:line="240" w:lineRule="auto"/>
              <w:jc w:val="center"/>
            </w:pPr>
            <w:r>
              <w:rPr>
                <w:rFonts w:ascii="Tahoma" w:eastAsia="Times New Roman" w:hAnsi="Tahoma" w:cs="Tahoma"/>
                <w:b/>
                <w:bCs/>
                <w:color w:val="0D0D0D"/>
                <w:w w:val="99"/>
                <w:sz w:val="14"/>
                <w:szCs w:val="14"/>
                <w:lang w:eastAsia="it-IT"/>
              </w:rPr>
              <w:t>Tempi di attuazione</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7B4D" w:rsidRDefault="00CC7B4D">
            <w:pPr>
              <w:spacing w:after="0" w:line="240" w:lineRule="auto"/>
              <w:jc w:val="center"/>
            </w:pPr>
            <w:r>
              <w:rPr>
                <w:rFonts w:ascii="Tahoma" w:eastAsia="Times New Roman" w:hAnsi="Tahoma" w:cs="Tahoma"/>
                <w:b/>
                <w:bCs/>
                <w:color w:val="0D0D0D"/>
                <w:sz w:val="14"/>
                <w:szCs w:val="14"/>
                <w:lang w:eastAsia="it-IT"/>
              </w:rPr>
              <w:t>Monitoraggio</w:t>
            </w:r>
          </w:p>
        </w:tc>
      </w:tr>
      <w:tr w:rsidR="00CC7B4D" w:rsidRPr="001C4B26" w:rsidTr="00404455">
        <w:trPr>
          <w:trHeight w:val="1247"/>
        </w:trPr>
        <w:tc>
          <w:tcPr>
            <w:tcW w:w="1913" w:type="dxa"/>
            <w:tcBorders>
              <w:left w:val="single" w:sz="4" w:space="0" w:color="000000"/>
              <w:bottom w:val="single" w:sz="4" w:space="0" w:color="000000"/>
            </w:tcBorders>
            <w:shd w:val="clear" w:color="auto" w:fill="auto"/>
            <w:vAlign w:val="center"/>
          </w:tcPr>
          <w:p w:rsidR="00CC7B4D" w:rsidRPr="001C4B26" w:rsidRDefault="00CC7B4D">
            <w:pPr>
              <w:spacing w:after="0" w:line="240" w:lineRule="auto"/>
              <w:rPr>
                <w:rFonts w:ascii="Tahoma" w:hAnsi="Tahoma" w:cs="Tahoma"/>
                <w:sz w:val="14"/>
                <w:szCs w:val="14"/>
              </w:rPr>
            </w:pPr>
            <w:r w:rsidRPr="001C4B26">
              <w:rPr>
                <w:rFonts w:ascii="Tahoma" w:eastAsia="Times New Roman" w:hAnsi="Tahoma" w:cs="Tahoma"/>
                <w:color w:val="000000"/>
                <w:sz w:val="14"/>
                <w:szCs w:val="14"/>
                <w:lang w:eastAsia="it-IT"/>
              </w:rPr>
              <w:t>Acquisizione e progressione personale</w:t>
            </w:r>
          </w:p>
        </w:tc>
        <w:tc>
          <w:tcPr>
            <w:tcW w:w="2391" w:type="dxa"/>
            <w:tcBorders>
              <w:left w:val="single" w:sz="4" w:space="0" w:color="000000"/>
              <w:bottom w:val="single" w:sz="4" w:space="0" w:color="000000"/>
            </w:tcBorders>
            <w:shd w:val="clear" w:color="auto" w:fill="auto"/>
            <w:vAlign w:val="center"/>
          </w:tcPr>
          <w:p w:rsidR="00CC7B4D" w:rsidRPr="001C4B26" w:rsidRDefault="00CC7B4D">
            <w:pPr>
              <w:spacing w:after="0" w:line="240" w:lineRule="auto"/>
              <w:rPr>
                <w:rFonts w:ascii="Tahoma" w:hAnsi="Tahoma" w:cs="Tahoma"/>
                <w:sz w:val="14"/>
                <w:szCs w:val="14"/>
              </w:rPr>
            </w:pPr>
            <w:r w:rsidRPr="001C4B26">
              <w:rPr>
                <w:rFonts w:ascii="Tahoma" w:eastAsia="Times New Roman" w:hAnsi="Tahoma" w:cs="Tahoma"/>
                <w:color w:val="000000"/>
                <w:sz w:val="14"/>
                <w:szCs w:val="14"/>
                <w:lang w:eastAsia="it-IT"/>
              </w:rPr>
              <w:t>Assunzione e la selezione del personale, Progressioni di carriera, Valutazione del personale (anche dirigenziale)</w:t>
            </w:r>
          </w:p>
        </w:tc>
        <w:tc>
          <w:tcPr>
            <w:tcW w:w="2409" w:type="dxa"/>
            <w:tcBorders>
              <w:left w:val="single" w:sz="4" w:space="0" w:color="000000"/>
              <w:bottom w:val="single" w:sz="4" w:space="0" w:color="000000"/>
            </w:tcBorders>
            <w:shd w:val="clear" w:color="auto" w:fill="auto"/>
            <w:vAlign w:val="center"/>
          </w:tcPr>
          <w:p w:rsidR="00CC7B4D" w:rsidRPr="001C4B26" w:rsidRDefault="00CC7B4D">
            <w:pPr>
              <w:spacing w:after="0" w:line="240" w:lineRule="auto"/>
              <w:rPr>
                <w:rFonts w:ascii="Tahoma" w:hAnsi="Tahoma" w:cs="Tahoma"/>
                <w:sz w:val="14"/>
                <w:szCs w:val="14"/>
              </w:rPr>
            </w:pPr>
            <w:r w:rsidRPr="001C4B26">
              <w:rPr>
                <w:rFonts w:ascii="Tahoma" w:eastAsia="Times New Roman" w:hAnsi="Tahoma" w:cs="Tahoma"/>
                <w:color w:val="000000"/>
                <w:sz w:val="14"/>
                <w:szCs w:val="14"/>
                <w:lang w:eastAsia="it-IT"/>
              </w:rPr>
              <w:t>Induzione a favorire canditati, ad alterare atti e valutazioni</w:t>
            </w:r>
          </w:p>
        </w:tc>
        <w:tc>
          <w:tcPr>
            <w:tcW w:w="992" w:type="dxa"/>
            <w:tcBorders>
              <w:left w:val="single" w:sz="4" w:space="0" w:color="000000"/>
              <w:bottom w:val="single" w:sz="4" w:space="0" w:color="000000"/>
            </w:tcBorders>
            <w:shd w:val="clear" w:color="auto" w:fill="FF0000"/>
            <w:vAlign w:val="center"/>
          </w:tcPr>
          <w:p w:rsidR="00CC7B4D" w:rsidRPr="001C4B26" w:rsidRDefault="00CC7B4D">
            <w:pPr>
              <w:spacing w:after="0" w:line="240" w:lineRule="auto"/>
              <w:jc w:val="center"/>
              <w:rPr>
                <w:rFonts w:ascii="Tahoma" w:hAnsi="Tahoma" w:cs="Tahoma"/>
                <w:sz w:val="14"/>
                <w:szCs w:val="14"/>
              </w:rPr>
            </w:pPr>
            <w:r w:rsidRPr="001C4B26">
              <w:rPr>
                <w:rFonts w:ascii="Tahoma" w:eastAsia="Times New Roman" w:hAnsi="Tahoma" w:cs="Tahoma"/>
                <w:color w:val="000000"/>
                <w:sz w:val="14"/>
                <w:szCs w:val="14"/>
                <w:lang w:eastAsia="it-IT"/>
              </w:rPr>
              <w:t>Critico</w:t>
            </w:r>
          </w:p>
        </w:tc>
        <w:tc>
          <w:tcPr>
            <w:tcW w:w="2597" w:type="dxa"/>
            <w:tcBorders>
              <w:left w:val="single" w:sz="4" w:space="0" w:color="000000"/>
              <w:bottom w:val="single" w:sz="4" w:space="0" w:color="000000"/>
            </w:tcBorders>
            <w:shd w:val="clear" w:color="auto" w:fill="auto"/>
            <w:vAlign w:val="center"/>
          </w:tcPr>
          <w:p w:rsidR="00CC7B4D" w:rsidRPr="001C4B26" w:rsidRDefault="00CC7B4D">
            <w:pPr>
              <w:spacing w:after="0" w:line="240" w:lineRule="auto"/>
              <w:rPr>
                <w:rFonts w:ascii="Tahoma" w:hAnsi="Tahoma" w:cs="Tahoma"/>
                <w:sz w:val="14"/>
                <w:szCs w:val="14"/>
              </w:rPr>
            </w:pPr>
            <w:r w:rsidRPr="001C4B26">
              <w:rPr>
                <w:rFonts w:ascii="Tahoma" w:eastAsia="Times New Roman" w:hAnsi="Tahoma" w:cs="Tahoma"/>
                <w:color w:val="000000"/>
                <w:sz w:val="14"/>
                <w:szCs w:val="14"/>
                <w:lang w:eastAsia="it-IT"/>
              </w:rPr>
              <w:t xml:space="preserve">Come da Regolamento della Società </w:t>
            </w:r>
            <w:r w:rsidRPr="001C4B26">
              <w:rPr>
                <w:rFonts w:ascii="Tahoma" w:eastAsia="Times New Roman" w:hAnsi="Tahoma" w:cs="Tahoma"/>
                <w:bCs/>
                <w:color w:val="000000"/>
                <w:sz w:val="14"/>
                <w:szCs w:val="14"/>
                <w:lang w:eastAsia="it-IT"/>
              </w:rPr>
              <w:t>“Processo di selezione del personale”</w:t>
            </w:r>
            <w:r w:rsidRPr="001C4B26">
              <w:rPr>
                <w:rFonts w:ascii="Tahoma" w:eastAsia="Times New Roman" w:hAnsi="Tahoma" w:cs="Tahoma"/>
                <w:color w:val="000000"/>
                <w:sz w:val="14"/>
                <w:szCs w:val="14"/>
                <w:lang w:eastAsia="it-IT"/>
              </w:rPr>
              <w:t>, individuazione nell'avviso dei criteri e pubblicazione sul sito</w:t>
            </w:r>
          </w:p>
        </w:tc>
        <w:tc>
          <w:tcPr>
            <w:tcW w:w="1180" w:type="dxa"/>
            <w:tcBorders>
              <w:left w:val="single" w:sz="4" w:space="0" w:color="000000"/>
              <w:bottom w:val="single" w:sz="4" w:space="0" w:color="000000"/>
            </w:tcBorders>
            <w:shd w:val="clear" w:color="auto" w:fill="auto"/>
            <w:vAlign w:val="center"/>
          </w:tcPr>
          <w:p w:rsidR="00CC7B4D" w:rsidRPr="001C4B26" w:rsidRDefault="00CC7B4D">
            <w:pPr>
              <w:spacing w:after="0" w:line="240" w:lineRule="auto"/>
              <w:rPr>
                <w:rFonts w:ascii="Tahoma" w:hAnsi="Tahoma" w:cs="Tahoma"/>
                <w:sz w:val="14"/>
                <w:szCs w:val="14"/>
              </w:rPr>
            </w:pPr>
            <w:r w:rsidRPr="001C4B26">
              <w:rPr>
                <w:rFonts w:ascii="Tahoma" w:eastAsia="Times New Roman" w:hAnsi="Tahoma" w:cs="Tahoma"/>
                <w:color w:val="000000"/>
                <w:sz w:val="14"/>
                <w:szCs w:val="14"/>
                <w:lang w:eastAsia="it-IT"/>
              </w:rPr>
              <w:t>Amministratore Unico Venezia Sanità s.r.l.</w:t>
            </w:r>
          </w:p>
        </w:tc>
        <w:tc>
          <w:tcPr>
            <w:tcW w:w="992" w:type="dxa"/>
            <w:tcBorders>
              <w:left w:val="single" w:sz="4" w:space="0" w:color="000000"/>
              <w:bottom w:val="single" w:sz="4" w:space="0" w:color="000000"/>
            </w:tcBorders>
            <w:shd w:val="clear" w:color="auto" w:fill="auto"/>
            <w:vAlign w:val="center"/>
          </w:tcPr>
          <w:p w:rsidR="00CC7B4D" w:rsidRPr="001C4B26" w:rsidRDefault="00CC7B4D">
            <w:pPr>
              <w:spacing w:after="0" w:line="240" w:lineRule="auto"/>
              <w:rPr>
                <w:rFonts w:ascii="Tahoma" w:hAnsi="Tahoma" w:cs="Tahoma"/>
                <w:sz w:val="14"/>
                <w:szCs w:val="14"/>
              </w:rPr>
            </w:pPr>
            <w:r w:rsidRPr="001C4B26">
              <w:rPr>
                <w:rFonts w:ascii="Tahoma" w:eastAsia="Times New Roman" w:hAnsi="Tahoma" w:cs="Tahoma"/>
                <w:color w:val="000000"/>
                <w:sz w:val="14"/>
                <w:szCs w:val="14"/>
                <w:lang w:eastAsia="it-IT"/>
              </w:rPr>
              <w:t>Pubblicazione</w:t>
            </w:r>
          </w:p>
        </w:tc>
        <w:tc>
          <w:tcPr>
            <w:tcW w:w="993" w:type="dxa"/>
            <w:tcBorders>
              <w:left w:val="single" w:sz="4" w:space="0" w:color="000000"/>
              <w:bottom w:val="single" w:sz="4" w:space="0" w:color="000000"/>
            </w:tcBorders>
            <w:shd w:val="clear" w:color="auto" w:fill="auto"/>
            <w:vAlign w:val="center"/>
          </w:tcPr>
          <w:p w:rsidR="00CC7B4D" w:rsidRPr="001C4B26" w:rsidRDefault="00CC7B4D">
            <w:pPr>
              <w:spacing w:after="0" w:line="240" w:lineRule="auto"/>
              <w:rPr>
                <w:rFonts w:ascii="Tahoma" w:hAnsi="Tahoma" w:cs="Tahoma"/>
                <w:sz w:val="14"/>
                <w:szCs w:val="14"/>
              </w:rPr>
            </w:pPr>
            <w:r w:rsidRPr="001C4B26">
              <w:rPr>
                <w:rFonts w:ascii="Tahoma" w:eastAsia="Times New Roman" w:hAnsi="Tahoma" w:cs="Tahoma"/>
                <w:color w:val="000000"/>
                <w:sz w:val="14"/>
                <w:szCs w:val="14"/>
                <w:lang w:eastAsia="it-IT"/>
              </w:rPr>
              <w:t>Tempestivo</w:t>
            </w:r>
          </w:p>
        </w:tc>
        <w:tc>
          <w:tcPr>
            <w:tcW w:w="1214" w:type="dxa"/>
            <w:tcBorders>
              <w:left w:val="single" w:sz="4" w:space="0" w:color="000000"/>
              <w:bottom w:val="single" w:sz="4" w:space="0" w:color="000000"/>
              <w:right w:val="single" w:sz="4" w:space="0" w:color="000000"/>
            </w:tcBorders>
            <w:shd w:val="clear" w:color="auto" w:fill="auto"/>
            <w:vAlign w:val="center"/>
          </w:tcPr>
          <w:p w:rsidR="00CC7B4D" w:rsidRPr="001C4B26" w:rsidRDefault="00CC7B4D">
            <w:pPr>
              <w:spacing w:after="0" w:line="240" w:lineRule="auto"/>
              <w:rPr>
                <w:rFonts w:ascii="Tahoma" w:hAnsi="Tahoma" w:cs="Tahoma"/>
                <w:sz w:val="14"/>
                <w:szCs w:val="14"/>
              </w:rPr>
            </w:pPr>
            <w:r w:rsidRPr="001C4B26">
              <w:rPr>
                <w:rFonts w:ascii="Tahoma" w:eastAsia="Times New Roman" w:hAnsi="Tahoma" w:cs="Tahoma"/>
                <w:color w:val="000000"/>
                <w:sz w:val="14"/>
                <w:szCs w:val="14"/>
                <w:lang w:eastAsia="it-IT"/>
              </w:rPr>
              <w:t>Verifica pubblicazione</w:t>
            </w:r>
          </w:p>
        </w:tc>
      </w:tr>
      <w:tr w:rsidR="00CC7B4D" w:rsidRPr="001C4B26" w:rsidTr="00404455">
        <w:trPr>
          <w:trHeight w:val="1247"/>
        </w:trPr>
        <w:tc>
          <w:tcPr>
            <w:tcW w:w="1913" w:type="dxa"/>
            <w:tcBorders>
              <w:left w:val="single" w:sz="4" w:space="0" w:color="000000"/>
              <w:bottom w:val="single" w:sz="4" w:space="0" w:color="000000"/>
            </w:tcBorders>
            <w:shd w:val="clear" w:color="auto" w:fill="auto"/>
            <w:vAlign w:val="center"/>
          </w:tcPr>
          <w:p w:rsidR="00CC7B4D" w:rsidRPr="001C4B26" w:rsidRDefault="00CC7B4D">
            <w:pPr>
              <w:spacing w:after="0" w:line="240" w:lineRule="auto"/>
              <w:rPr>
                <w:rFonts w:ascii="Tahoma" w:hAnsi="Tahoma" w:cs="Tahoma"/>
                <w:sz w:val="14"/>
                <w:szCs w:val="14"/>
              </w:rPr>
            </w:pPr>
            <w:r w:rsidRPr="001C4B26">
              <w:rPr>
                <w:rFonts w:ascii="Tahoma" w:eastAsia="Times New Roman" w:hAnsi="Tahoma" w:cs="Tahoma"/>
                <w:color w:val="000000"/>
                <w:sz w:val="14"/>
                <w:szCs w:val="14"/>
                <w:lang w:eastAsia="it-IT"/>
              </w:rPr>
              <w:t>Acquisizione e progressione personale</w:t>
            </w:r>
          </w:p>
        </w:tc>
        <w:tc>
          <w:tcPr>
            <w:tcW w:w="2391" w:type="dxa"/>
            <w:tcBorders>
              <w:left w:val="single" w:sz="4" w:space="0" w:color="000000"/>
              <w:bottom w:val="single" w:sz="4" w:space="0" w:color="000000"/>
            </w:tcBorders>
            <w:shd w:val="clear" w:color="auto" w:fill="auto"/>
            <w:vAlign w:val="center"/>
          </w:tcPr>
          <w:p w:rsidR="00CC7B4D" w:rsidRPr="001C4B26" w:rsidRDefault="00CC7B4D">
            <w:pPr>
              <w:spacing w:after="0" w:line="240" w:lineRule="auto"/>
              <w:rPr>
                <w:rFonts w:ascii="Tahoma" w:hAnsi="Tahoma" w:cs="Tahoma"/>
                <w:sz w:val="14"/>
                <w:szCs w:val="14"/>
              </w:rPr>
            </w:pPr>
            <w:r w:rsidRPr="001C4B26">
              <w:rPr>
                <w:rFonts w:ascii="Tahoma" w:eastAsia="Times New Roman" w:hAnsi="Tahoma" w:cs="Tahoma"/>
                <w:color w:val="000000"/>
                <w:sz w:val="14"/>
                <w:szCs w:val="14"/>
                <w:lang w:eastAsia="it-IT"/>
              </w:rPr>
              <w:t>Conferimento di incarichi di collaborazione</w:t>
            </w:r>
          </w:p>
        </w:tc>
        <w:tc>
          <w:tcPr>
            <w:tcW w:w="2409" w:type="dxa"/>
            <w:tcBorders>
              <w:left w:val="single" w:sz="4" w:space="0" w:color="000000"/>
              <w:bottom w:val="single" w:sz="4" w:space="0" w:color="000000"/>
            </w:tcBorders>
            <w:shd w:val="clear" w:color="auto" w:fill="auto"/>
            <w:vAlign w:val="center"/>
          </w:tcPr>
          <w:p w:rsidR="00CC7B4D" w:rsidRPr="001C4B26" w:rsidRDefault="00CC7B4D">
            <w:pPr>
              <w:spacing w:after="0" w:line="240" w:lineRule="auto"/>
              <w:rPr>
                <w:rFonts w:ascii="Tahoma" w:hAnsi="Tahoma" w:cs="Tahoma"/>
                <w:sz w:val="14"/>
                <w:szCs w:val="14"/>
              </w:rPr>
            </w:pPr>
            <w:r w:rsidRPr="001C4B26">
              <w:rPr>
                <w:rFonts w:ascii="Tahoma" w:eastAsia="Times New Roman" w:hAnsi="Tahoma" w:cs="Tahoma"/>
                <w:color w:val="000000"/>
                <w:sz w:val="14"/>
                <w:szCs w:val="14"/>
                <w:lang w:eastAsia="it-IT"/>
              </w:rPr>
              <w:t>Inosservanza delle regole procedurali a garanzia della trasparenza e dell’imparzialità della selezione, finalizzata al reclutamento di candidati particolari</w:t>
            </w:r>
          </w:p>
        </w:tc>
        <w:tc>
          <w:tcPr>
            <w:tcW w:w="992" w:type="dxa"/>
            <w:tcBorders>
              <w:left w:val="single" w:sz="4" w:space="0" w:color="000000"/>
              <w:bottom w:val="single" w:sz="4" w:space="0" w:color="000000"/>
            </w:tcBorders>
            <w:shd w:val="clear" w:color="auto" w:fill="FF0000"/>
            <w:vAlign w:val="center"/>
          </w:tcPr>
          <w:p w:rsidR="00CC7B4D" w:rsidRPr="001C4B26" w:rsidRDefault="00CC7B4D">
            <w:pPr>
              <w:spacing w:after="0" w:line="240" w:lineRule="auto"/>
              <w:jc w:val="center"/>
              <w:rPr>
                <w:rFonts w:ascii="Tahoma" w:hAnsi="Tahoma" w:cs="Tahoma"/>
                <w:sz w:val="14"/>
                <w:szCs w:val="14"/>
              </w:rPr>
            </w:pPr>
            <w:r w:rsidRPr="001C4B26">
              <w:rPr>
                <w:rFonts w:ascii="Tahoma" w:eastAsia="Times New Roman" w:hAnsi="Tahoma" w:cs="Tahoma"/>
                <w:color w:val="000000"/>
                <w:sz w:val="14"/>
                <w:szCs w:val="14"/>
                <w:lang w:eastAsia="it-IT"/>
              </w:rPr>
              <w:t>Critico</w:t>
            </w:r>
          </w:p>
        </w:tc>
        <w:tc>
          <w:tcPr>
            <w:tcW w:w="2597" w:type="dxa"/>
            <w:tcBorders>
              <w:left w:val="single" w:sz="4" w:space="0" w:color="000000"/>
              <w:bottom w:val="single" w:sz="4" w:space="0" w:color="000000"/>
            </w:tcBorders>
            <w:shd w:val="clear" w:color="auto" w:fill="auto"/>
            <w:vAlign w:val="center"/>
          </w:tcPr>
          <w:p w:rsidR="00CC7B4D" w:rsidRPr="001C4B26" w:rsidRDefault="00CC7B4D">
            <w:pPr>
              <w:spacing w:after="0" w:line="240" w:lineRule="auto"/>
              <w:rPr>
                <w:rFonts w:ascii="Tahoma" w:hAnsi="Tahoma" w:cs="Tahoma"/>
                <w:sz w:val="14"/>
                <w:szCs w:val="14"/>
              </w:rPr>
            </w:pPr>
            <w:r w:rsidRPr="001C4B26">
              <w:rPr>
                <w:rFonts w:ascii="Tahoma" w:eastAsia="Times New Roman" w:hAnsi="Tahoma" w:cs="Tahoma"/>
                <w:color w:val="000000"/>
                <w:sz w:val="14"/>
                <w:szCs w:val="14"/>
                <w:lang w:eastAsia="it-IT"/>
              </w:rPr>
              <w:t xml:space="preserve">Come da Regolamento della Società </w:t>
            </w:r>
            <w:r w:rsidRPr="001C4B26">
              <w:rPr>
                <w:rFonts w:ascii="Tahoma" w:eastAsia="Times New Roman" w:hAnsi="Tahoma" w:cs="Tahoma"/>
                <w:bCs/>
                <w:color w:val="000000"/>
                <w:sz w:val="14"/>
                <w:szCs w:val="14"/>
                <w:lang w:eastAsia="it-IT"/>
              </w:rPr>
              <w:t>“Processo di selezione del personale”</w:t>
            </w:r>
            <w:r w:rsidRPr="001C4B26">
              <w:rPr>
                <w:rFonts w:ascii="Tahoma" w:eastAsia="Times New Roman" w:hAnsi="Tahoma" w:cs="Tahoma"/>
                <w:color w:val="000000"/>
                <w:sz w:val="14"/>
                <w:szCs w:val="14"/>
                <w:lang w:eastAsia="it-IT"/>
              </w:rPr>
              <w:t>, individuazione nell'avviso dei criteri e pubblicazione sul sito</w:t>
            </w:r>
          </w:p>
        </w:tc>
        <w:tc>
          <w:tcPr>
            <w:tcW w:w="1180" w:type="dxa"/>
            <w:tcBorders>
              <w:left w:val="single" w:sz="4" w:space="0" w:color="000000"/>
              <w:bottom w:val="single" w:sz="4" w:space="0" w:color="000000"/>
            </w:tcBorders>
            <w:shd w:val="clear" w:color="auto" w:fill="auto"/>
            <w:vAlign w:val="center"/>
          </w:tcPr>
          <w:p w:rsidR="00CC7B4D" w:rsidRPr="001C4B26" w:rsidRDefault="00CC7B4D">
            <w:pPr>
              <w:spacing w:after="0" w:line="240" w:lineRule="auto"/>
              <w:rPr>
                <w:rFonts w:ascii="Tahoma" w:hAnsi="Tahoma" w:cs="Tahoma"/>
                <w:sz w:val="14"/>
                <w:szCs w:val="14"/>
              </w:rPr>
            </w:pPr>
            <w:r w:rsidRPr="001C4B26">
              <w:rPr>
                <w:rFonts w:ascii="Tahoma" w:eastAsia="Times New Roman" w:hAnsi="Tahoma" w:cs="Tahoma"/>
                <w:color w:val="000000"/>
                <w:sz w:val="14"/>
                <w:szCs w:val="14"/>
                <w:lang w:eastAsia="it-IT"/>
              </w:rPr>
              <w:t>Amministratore Unico Venezia Sanità s.r.l.</w:t>
            </w:r>
          </w:p>
        </w:tc>
        <w:tc>
          <w:tcPr>
            <w:tcW w:w="992" w:type="dxa"/>
            <w:tcBorders>
              <w:left w:val="single" w:sz="4" w:space="0" w:color="000000"/>
              <w:bottom w:val="single" w:sz="4" w:space="0" w:color="000000"/>
            </w:tcBorders>
            <w:shd w:val="clear" w:color="auto" w:fill="auto"/>
            <w:vAlign w:val="center"/>
          </w:tcPr>
          <w:p w:rsidR="00CC7B4D" w:rsidRPr="001C4B26" w:rsidRDefault="00CC7B4D">
            <w:pPr>
              <w:spacing w:after="0" w:line="240" w:lineRule="auto"/>
              <w:rPr>
                <w:rFonts w:ascii="Tahoma" w:hAnsi="Tahoma" w:cs="Tahoma"/>
                <w:sz w:val="14"/>
                <w:szCs w:val="14"/>
              </w:rPr>
            </w:pPr>
            <w:r w:rsidRPr="001C4B26">
              <w:rPr>
                <w:rFonts w:ascii="Tahoma" w:eastAsia="Times New Roman" w:hAnsi="Tahoma" w:cs="Tahoma"/>
                <w:color w:val="000000"/>
                <w:sz w:val="14"/>
                <w:szCs w:val="14"/>
                <w:lang w:eastAsia="it-IT"/>
              </w:rPr>
              <w:t>Pubblicazione</w:t>
            </w:r>
          </w:p>
        </w:tc>
        <w:tc>
          <w:tcPr>
            <w:tcW w:w="993" w:type="dxa"/>
            <w:tcBorders>
              <w:left w:val="single" w:sz="4" w:space="0" w:color="000000"/>
              <w:bottom w:val="single" w:sz="4" w:space="0" w:color="000000"/>
            </w:tcBorders>
            <w:shd w:val="clear" w:color="auto" w:fill="auto"/>
            <w:vAlign w:val="center"/>
          </w:tcPr>
          <w:p w:rsidR="00CC7B4D" w:rsidRPr="001C4B26" w:rsidRDefault="00CC7B4D">
            <w:pPr>
              <w:spacing w:after="0" w:line="240" w:lineRule="auto"/>
              <w:rPr>
                <w:rFonts w:ascii="Tahoma" w:hAnsi="Tahoma" w:cs="Tahoma"/>
                <w:sz w:val="14"/>
                <w:szCs w:val="14"/>
              </w:rPr>
            </w:pPr>
            <w:r w:rsidRPr="001C4B26">
              <w:rPr>
                <w:rFonts w:ascii="Tahoma" w:eastAsia="Times New Roman" w:hAnsi="Tahoma" w:cs="Tahoma"/>
                <w:color w:val="000000"/>
                <w:sz w:val="14"/>
                <w:szCs w:val="14"/>
                <w:lang w:eastAsia="it-IT"/>
              </w:rPr>
              <w:t>Tempestivo</w:t>
            </w:r>
          </w:p>
        </w:tc>
        <w:tc>
          <w:tcPr>
            <w:tcW w:w="1214" w:type="dxa"/>
            <w:tcBorders>
              <w:left w:val="single" w:sz="4" w:space="0" w:color="000000"/>
              <w:bottom w:val="single" w:sz="4" w:space="0" w:color="000000"/>
              <w:right w:val="single" w:sz="4" w:space="0" w:color="000000"/>
            </w:tcBorders>
            <w:shd w:val="clear" w:color="auto" w:fill="auto"/>
            <w:vAlign w:val="center"/>
          </w:tcPr>
          <w:p w:rsidR="00CC7B4D" w:rsidRPr="001C4B26" w:rsidRDefault="00CC7B4D">
            <w:pPr>
              <w:spacing w:after="0" w:line="240" w:lineRule="auto"/>
              <w:rPr>
                <w:rFonts w:ascii="Tahoma" w:hAnsi="Tahoma" w:cs="Tahoma"/>
                <w:sz w:val="14"/>
                <w:szCs w:val="14"/>
              </w:rPr>
            </w:pPr>
            <w:r w:rsidRPr="001C4B26">
              <w:rPr>
                <w:rFonts w:ascii="Tahoma" w:eastAsia="Times New Roman" w:hAnsi="Tahoma" w:cs="Tahoma"/>
                <w:color w:val="000000"/>
                <w:sz w:val="14"/>
                <w:szCs w:val="14"/>
                <w:lang w:eastAsia="it-IT"/>
              </w:rPr>
              <w:t>Verifica pubblicazione</w:t>
            </w:r>
          </w:p>
        </w:tc>
      </w:tr>
      <w:tr w:rsidR="00CC7B4D" w:rsidRPr="007373F1" w:rsidTr="00404455">
        <w:trPr>
          <w:trHeight w:val="1247"/>
        </w:trPr>
        <w:tc>
          <w:tcPr>
            <w:tcW w:w="1913" w:type="dxa"/>
            <w:tcBorders>
              <w:left w:val="single" w:sz="4" w:space="0" w:color="000000"/>
              <w:bottom w:val="single" w:sz="4" w:space="0" w:color="000000"/>
            </w:tcBorders>
            <w:shd w:val="clear" w:color="auto" w:fill="auto"/>
            <w:vAlign w:val="center"/>
          </w:tcPr>
          <w:p w:rsidR="00CC7B4D" w:rsidRPr="007373F1" w:rsidRDefault="00CC7B4D">
            <w:pPr>
              <w:spacing w:after="0" w:line="240" w:lineRule="auto"/>
              <w:rPr>
                <w:rFonts w:ascii="Tahoma" w:hAnsi="Tahoma" w:cs="Tahoma"/>
                <w:sz w:val="14"/>
                <w:szCs w:val="14"/>
              </w:rPr>
            </w:pPr>
            <w:r w:rsidRPr="007373F1">
              <w:rPr>
                <w:rFonts w:ascii="Tahoma" w:eastAsia="Times New Roman" w:hAnsi="Tahoma" w:cs="Tahoma"/>
                <w:sz w:val="14"/>
                <w:szCs w:val="14"/>
                <w:lang w:eastAsia="it-IT"/>
              </w:rPr>
              <w:t>Affidamento di lavori, servizi e forniture</w:t>
            </w:r>
          </w:p>
        </w:tc>
        <w:tc>
          <w:tcPr>
            <w:tcW w:w="2391" w:type="dxa"/>
            <w:tcBorders>
              <w:left w:val="single" w:sz="4" w:space="0" w:color="000000"/>
              <w:bottom w:val="single" w:sz="4" w:space="0" w:color="000000"/>
            </w:tcBorders>
            <w:shd w:val="clear" w:color="auto" w:fill="auto"/>
            <w:vAlign w:val="center"/>
          </w:tcPr>
          <w:p w:rsidR="00CC7B4D" w:rsidRPr="007373F1" w:rsidRDefault="00CC7B4D">
            <w:pPr>
              <w:spacing w:after="0" w:line="240" w:lineRule="auto"/>
              <w:rPr>
                <w:rFonts w:ascii="Tahoma" w:hAnsi="Tahoma" w:cs="Tahoma"/>
                <w:sz w:val="14"/>
                <w:szCs w:val="14"/>
              </w:rPr>
            </w:pPr>
            <w:r w:rsidRPr="007373F1">
              <w:rPr>
                <w:rFonts w:ascii="Tahoma" w:eastAsia="Times New Roman" w:hAnsi="Tahoma" w:cs="Tahoma"/>
                <w:sz w:val="14"/>
                <w:szCs w:val="14"/>
                <w:lang w:eastAsia="it-IT"/>
              </w:rPr>
              <w:t>Piani e procedure di acquisto e di approvvigionamento di beni e servizi (acquisizioni in economia)</w:t>
            </w:r>
          </w:p>
        </w:tc>
        <w:tc>
          <w:tcPr>
            <w:tcW w:w="2409" w:type="dxa"/>
            <w:tcBorders>
              <w:left w:val="single" w:sz="4" w:space="0" w:color="000000"/>
              <w:bottom w:val="single" w:sz="4" w:space="0" w:color="000000"/>
            </w:tcBorders>
            <w:shd w:val="clear" w:color="auto" w:fill="auto"/>
            <w:vAlign w:val="center"/>
          </w:tcPr>
          <w:p w:rsidR="00CC7B4D" w:rsidRPr="007373F1" w:rsidRDefault="00CC7B4D">
            <w:pPr>
              <w:autoSpaceDE w:val="0"/>
              <w:spacing w:after="0" w:line="240" w:lineRule="auto"/>
              <w:rPr>
                <w:rFonts w:ascii="Tahoma" w:hAnsi="Tahoma" w:cs="Tahoma"/>
                <w:sz w:val="14"/>
                <w:szCs w:val="14"/>
              </w:rPr>
            </w:pPr>
            <w:r w:rsidRPr="007373F1">
              <w:rPr>
                <w:rFonts w:ascii="Tahoma" w:hAnsi="Tahoma" w:cs="Tahoma"/>
                <w:sz w:val="14"/>
                <w:szCs w:val="14"/>
              </w:rPr>
              <w:t>Elusione delle regole di affidamento degli appalti, mediante abuso dell'affidamento diretto per favorire un'impresa</w:t>
            </w:r>
          </w:p>
        </w:tc>
        <w:tc>
          <w:tcPr>
            <w:tcW w:w="992" w:type="dxa"/>
            <w:tcBorders>
              <w:left w:val="single" w:sz="4" w:space="0" w:color="000000"/>
              <w:bottom w:val="single" w:sz="4" w:space="0" w:color="000000"/>
            </w:tcBorders>
            <w:shd w:val="clear" w:color="auto" w:fill="FF0000"/>
            <w:vAlign w:val="center"/>
          </w:tcPr>
          <w:p w:rsidR="00CC7B4D" w:rsidRPr="007373F1" w:rsidRDefault="00CC7B4D">
            <w:pPr>
              <w:spacing w:after="0" w:line="240" w:lineRule="auto"/>
              <w:jc w:val="center"/>
              <w:rPr>
                <w:rFonts w:ascii="Tahoma" w:hAnsi="Tahoma" w:cs="Tahoma"/>
                <w:sz w:val="14"/>
                <w:szCs w:val="14"/>
              </w:rPr>
            </w:pPr>
            <w:r w:rsidRPr="007373F1">
              <w:rPr>
                <w:rFonts w:ascii="Tahoma" w:eastAsia="Times New Roman" w:hAnsi="Tahoma" w:cs="Tahoma"/>
                <w:sz w:val="14"/>
                <w:szCs w:val="14"/>
                <w:lang w:eastAsia="it-IT"/>
              </w:rPr>
              <w:t>Critico</w:t>
            </w:r>
          </w:p>
        </w:tc>
        <w:tc>
          <w:tcPr>
            <w:tcW w:w="2597" w:type="dxa"/>
            <w:tcBorders>
              <w:left w:val="single" w:sz="4" w:space="0" w:color="000000"/>
              <w:bottom w:val="single" w:sz="4" w:space="0" w:color="000000"/>
            </w:tcBorders>
            <w:shd w:val="clear" w:color="auto" w:fill="auto"/>
            <w:vAlign w:val="center"/>
          </w:tcPr>
          <w:p w:rsidR="00CC7B4D" w:rsidRPr="007373F1" w:rsidRDefault="00CC7B4D">
            <w:pPr>
              <w:spacing w:after="0" w:line="240" w:lineRule="auto"/>
              <w:rPr>
                <w:rFonts w:ascii="Tahoma" w:hAnsi="Tahoma" w:cs="Tahoma"/>
                <w:sz w:val="14"/>
                <w:szCs w:val="14"/>
              </w:rPr>
            </w:pPr>
            <w:r w:rsidRPr="007373F1">
              <w:rPr>
                <w:rFonts w:ascii="Tahoma" w:eastAsia="Times New Roman" w:hAnsi="Tahoma" w:cs="Tahoma"/>
                <w:sz w:val="14"/>
                <w:szCs w:val="14"/>
                <w:lang w:eastAsia="it-IT"/>
              </w:rPr>
              <w:t>Obbligo di motivare e deliberare da parte dell’Amministratore Unico della Società, sia la scelta della procedura sia la scelta del sistema di affidamento adottato ovvero della tipologia contrattuale</w:t>
            </w:r>
          </w:p>
        </w:tc>
        <w:tc>
          <w:tcPr>
            <w:tcW w:w="1180" w:type="dxa"/>
            <w:tcBorders>
              <w:left w:val="single" w:sz="4" w:space="0" w:color="000000"/>
              <w:bottom w:val="single" w:sz="4" w:space="0" w:color="000000"/>
            </w:tcBorders>
            <w:shd w:val="clear" w:color="auto" w:fill="auto"/>
            <w:vAlign w:val="center"/>
          </w:tcPr>
          <w:p w:rsidR="00CC7B4D" w:rsidRPr="007373F1" w:rsidRDefault="00CC7B4D">
            <w:pPr>
              <w:autoSpaceDE w:val="0"/>
              <w:spacing w:after="0" w:line="240" w:lineRule="auto"/>
              <w:rPr>
                <w:rFonts w:ascii="Tahoma" w:hAnsi="Tahoma" w:cs="Tahoma"/>
                <w:sz w:val="14"/>
                <w:szCs w:val="14"/>
              </w:rPr>
            </w:pPr>
            <w:r w:rsidRPr="007373F1">
              <w:rPr>
                <w:rFonts w:ascii="Tahoma" w:eastAsia="Times New Roman" w:hAnsi="Tahoma" w:cs="Tahoma"/>
                <w:sz w:val="14"/>
                <w:szCs w:val="14"/>
                <w:lang w:eastAsia="it-IT"/>
              </w:rPr>
              <w:t>Amministratore Unico Venezia Sanità s.r.l.</w:t>
            </w:r>
          </w:p>
        </w:tc>
        <w:tc>
          <w:tcPr>
            <w:tcW w:w="992" w:type="dxa"/>
            <w:tcBorders>
              <w:left w:val="single" w:sz="4" w:space="0" w:color="000000"/>
              <w:bottom w:val="single" w:sz="4" w:space="0" w:color="000000"/>
            </w:tcBorders>
            <w:shd w:val="clear" w:color="auto" w:fill="auto"/>
            <w:vAlign w:val="center"/>
          </w:tcPr>
          <w:p w:rsidR="00CC7B4D" w:rsidRPr="007373F1" w:rsidRDefault="00CC7B4D">
            <w:pPr>
              <w:autoSpaceDE w:val="0"/>
              <w:spacing w:after="0" w:line="240" w:lineRule="auto"/>
              <w:rPr>
                <w:rFonts w:ascii="Tahoma" w:hAnsi="Tahoma" w:cs="Tahoma"/>
                <w:sz w:val="14"/>
                <w:szCs w:val="14"/>
              </w:rPr>
            </w:pPr>
            <w:r w:rsidRPr="007373F1">
              <w:rPr>
                <w:rFonts w:ascii="Tahoma" w:hAnsi="Tahoma" w:cs="Tahoma"/>
                <w:sz w:val="14"/>
                <w:szCs w:val="14"/>
              </w:rPr>
              <w:t>Motivazione nell'atto pubblicato</w:t>
            </w:r>
          </w:p>
        </w:tc>
        <w:tc>
          <w:tcPr>
            <w:tcW w:w="993" w:type="dxa"/>
            <w:tcBorders>
              <w:left w:val="single" w:sz="4" w:space="0" w:color="000000"/>
              <w:bottom w:val="single" w:sz="4" w:space="0" w:color="000000"/>
            </w:tcBorders>
            <w:shd w:val="clear" w:color="auto" w:fill="auto"/>
            <w:vAlign w:val="center"/>
          </w:tcPr>
          <w:p w:rsidR="00CC7B4D" w:rsidRPr="007373F1" w:rsidRDefault="00684812">
            <w:pPr>
              <w:snapToGrid w:val="0"/>
              <w:spacing w:after="0" w:line="240" w:lineRule="auto"/>
              <w:rPr>
                <w:rFonts w:ascii="Tahoma" w:eastAsia="Times New Roman" w:hAnsi="Tahoma" w:cs="Tahoma"/>
                <w:sz w:val="14"/>
                <w:szCs w:val="14"/>
                <w:lang w:eastAsia="it-IT"/>
              </w:rPr>
            </w:pPr>
            <w:r w:rsidRPr="007373F1">
              <w:rPr>
                <w:rFonts w:ascii="Tahoma" w:eastAsia="Times New Roman" w:hAnsi="Tahoma" w:cs="Tahoma"/>
                <w:sz w:val="14"/>
                <w:szCs w:val="14"/>
                <w:lang w:eastAsia="it-IT"/>
              </w:rPr>
              <w:t>Tempestivo</w:t>
            </w:r>
          </w:p>
        </w:tc>
        <w:tc>
          <w:tcPr>
            <w:tcW w:w="1214" w:type="dxa"/>
            <w:tcBorders>
              <w:left w:val="single" w:sz="4" w:space="0" w:color="000000"/>
              <w:bottom w:val="single" w:sz="4" w:space="0" w:color="000000"/>
              <w:right w:val="single" w:sz="4" w:space="0" w:color="000000"/>
            </w:tcBorders>
            <w:shd w:val="clear" w:color="auto" w:fill="auto"/>
            <w:vAlign w:val="center"/>
          </w:tcPr>
          <w:p w:rsidR="00CC7B4D" w:rsidRPr="007373F1" w:rsidRDefault="00CC7B4D">
            <w:pPr>
              <w:spacing w:after="0" w:line="240" w:lineRule="auto"/>
              <w:rPr>
                <w:rFonts w:ascii="Tahoma" w:hAnsi="Tahoma" w:cs="Tahoma"/>
                <w:sz w:val="14"/>
                <w:szCs w:val="14"/>
              </w:rPr>
            </w:pPr>
            <w:r w:rsidRPr="007373F1">
              <w:rPr>
                <w:rFonts w:ascii="Tahoma" w:eastAsia="Times New Roman" w:hAnsi="Tahoma" w:cs="Tahoma"/>
                <w:sz w:val="14"/>
                <w:szCs w:val="14"/>
                <w:lang w:eastAsia="it-IT"/>
              </w:rPr>
              <w:t>Verifica della presenza della motivazione nell’atto pubblicato</w:t>
            </w:r>
          </w:p>
        </w:tc>
      </w:tr>
      <w:tr w:rsidR="00AC1D2B" w:rsidRPr="001C4B26" w:rsidTr="00237E5F">
        <w:trPr>
          <w:trHeight w:val="1247"/>
        </w:trPr>
        <w:tc>
          <w:tcPr>
            <w:tcW w:w="1913" w:type="dxa"/>
            <w:tcBorders>
              <w:left w:val="single" w:sz="4" w:space="0" w:color="000000"/>
              <w:bottom w:val="single" w:sz="4" w:space="0" w:color="auto"/>
            </w:tcBorders>
            <w:shd w:val="clear" w:color="auto" w:fill="auto"/>
            <w:vAlign w:val="center"/>
          </w:tcPr>
          <w:p w:rsidR="00AC1D2B" w:rsidRPr="001C4B26" w:rsidRDefault="00AC1D2B" w:rsidP="003D19AB">
            <w:pPr>
              <w:spacing w:after="0" w:line="240" w:lineRule="auto"/>
              <w:rPr>
                <w:rFonts w:ascii="Tahoma" w:hAnsi="Tahoma" w:cs="Tahoma"/>
                <w:sz w:val="14"/>
                <w:szCs w:val="14"/>
              </w:rPr>
            </w:pPr>
            <w:r w:rsidRPr="001C4B26">
              <w:rPr>
                <w:rFonts w:ascii="Tahoma" w:eastAsia="Times New Roman" w:hAnsi="Tahoma" w:cs="Tahoma"/>
                <w:color w:val="000000"/>
                <w:sz w:val="14"/>
                <w:szCs w:val="14"/>
                <w:lang w:eastAsia="it-IT"/>
              </w:rPr>
              <w:t>Acquisizione e progressione personale</w:t>
            </w:r>
          </w:p>
        </w:tc>
        <w:tc>
          <w:tcPr>
            <w:tcW w:w="2391" w:type="dxa"/>
            <w:tcBorders>
              <w:left w:val="single" w:sz="4" w:space="0" w:color="000000"/>
              <w:bottom w:val="single" w:sz="4" w:space="0" w:color="auto"/>
            </w:tcBorders>
            <w:shd w:val="clear" w:color="auto" w:fill="auto"/>
            <w:vAlign w:val="center"/>
          </w:tcPr>
          <w:p w:rsidR="00AC1D2B" w:rsidRPr="001C4B26" w:rsidRDefault="00AC1D2B" w:rsidP="003D19AB">
            <w:pPr>
              <w:spacing w:after="0" w:line="240" w:lineRule="auto"/>
              <w:rPr>
                <w:rFonts w:ascii="Tahoma" w:hAnsi="Tahoma" w:cs="Tahoma"/>
                <w:sz w:val="14"/>
                <w:szCs w:val="14"/>
              </w:rPr>
            </w:pPr>
            <w:r w:rsidRPr="001C4B26">
              <w:rPr>
                <w:rFonts w:ascii="Tahoma" w:eastAsia="Times New Roman" w:hAnsi="Tahoma" w:cs="Tahoma"/>
                <w:color w:val="000000"/>
                <w:sz w:val="14"/>
                <w:szCs w:val="14"/>
                <w:lang w:eastAsia="it-IT"/>
              </w:rPr>
              <w:t>Assunzione e la selezione del personale, Progressioni di carriera, Valutazione del personale (anche dirigenziale)</w:t>
            </w:r>
          </w:p>
        </w:tc>
        <w:tc>
          <w:tcPr>
            <w:tcW w:w="2409" w:type="dxa"/>
            <w:tcBorders>
              <w:left w:val="single" w:sz="4" w:space="0" w:color="000000"/>
              <w:bottom w:val="single" w:sz="4" w:space="0" w:color="auto"/>
            </w:tcBorders>
            <w:shd w:val="clear" w:color="auto" w:fill="auto"/>
            <w:vAlign w:val="center"/>
          </w:tcPr>
          <w:p w:rsidR="00AC1D2B" w:rsidRPr="001C4B26" w:rsidRDefault="00AC1D2B" w:rsidP="003D19AB">
            <w:pPr>
              <w:spacing w:after="0" w:line="240" w:lineRule="auto"/>
              <w:rPr>
                <w:rFonts w:ascii="Tahoma" w:hAnsi="Tahoma" w:cs="Tahoma"/>
                <w:sz w:val="14"/>
                <w:szCs w:val="14"/>
              </w:rPr>
            </w:pPr>
            <w:r w:rsidRPr="001C4B26">
              <w:rPr>
                <w:rFonts w:ascii="Tahoma" w:eastAsia="Times New Roman" w:hAnsi="Tahoma" w:cs="Tahoma"/>
                <w:color w:val="000000"/>
                <w:sz w:val="14"/>
                <w:szCs w:val="14"/>
                <w:lang w:eastAsia="it-IT"/>
              </w:rPr>
              <w:t>Induzione a favorire canditati, ad alterare atti e valutazioni</w:t>
            </w:r>
          </w:p>
        </w:tc>
        <w:tc>
          <w:tcPr>
            <w:tcW w:w="992" w:type="dxa"/>
            <w:tcBorders>
              <w:left w:val="single" w:sz="4" w:space="0" w:color="000000"/>
              <w:bottom w:val="single" w:sz="4" w:space="0" w:color="auto"/>
            </w:tcBorders>
            <w:shd w:val="clear" w:color="auto" w:fill="FFFF00"/>
            <w:vAlign w:val="center"/>
          </w:tcPr>
          <w:p w:rsidR="00AC1D2B" w:rsidRPr="001C4B26" w:rsidRDefault="00AC1D2B" w:rsidP="003D19AB">
            <w:pPr>
              <w:spacing w:after="0" w:line="240" w:lineRule="auto"/>
              <w:jc w:val="center"/>
              <w:rPr>
                <w:rFonts w:ascii="Tahoma" w:hAnsi="Tahoma" w:cs="Tahoma"/>
                <w:sz w:val="14"/>
                <w:szCs w:val="14"/>
              </w:rPr>
            </w:pPr>
            <w:r w:rsidRPr="001C4B26">
              <w:rPr>
                <w:rFonts w:ascii="Tahoma" w:eastAsia="Times New Roman" w:hAnsi="Tahoma" w:cs="Tahoma"/>
                <w:color w:val="000000"/>
                <w:sz w:val="14"/>
                <w:szCs w:val="14"/>
                <w:lang w:eastAsia="it-IT"/>
              </w:rPr>
              <w:t>Rilevante</w:t>
            </w:r>
          </w:p>
        </w:tc>
        <w:tc>
          <w:tcPr>
            <w:tcW w:w="2597" w:type="dxa"/>
            <w:tcBorders>
              <w:left w:val="single" w:sz="4" w:space="0" w:color="000000"/>
              <w:bottom w:val="single" w:sz="4" w:space="0" w:color="auto"/>
            </w:tcBorders>
            <w:shd w:val="clear" w:color="auto" w:fill="auto"/>
            <w:vAlign w:val="center"/>
          </w:tcPr>
          <w:p w:rsidR="00AC1D2B" w:rsidRPr="001C4B26" w:rsidRDefault="00AC1D2B" w:rsidP="003D19AB">
            <w:pPr>
              <w:spacing w:after="0" w:line="240" w:lineRule="auto"/>
              <w:rPr>
                <w:rFonts w:ascii="Tahoma" w:hAnsi="Tahoma" w:cs="Tahoma"/>
                <w:sz w:val="14"/>
                <w:szCs w:val="14"/>
              </w:rPr>
            </w:pPr>
            <w:r w:rsidRPr="001C4B26">
              <w:rPr>
                <w:rFonts w:ascii="Tahoma" w:eastAsia="Times New Roman" w:hAnsi="Tahoma" w:cs="Tahoma"/>
                <w:color w:val="000000"/>
                <w:sz w:val="14"/>
                <w:szCs w:val="14"/>
                <w:lang w:eastAsia="it-IT"/>
              </w:rPr>
              <w:t>Sorteggio commissione</w:t>
            </w:r>
          </w:p>
        </w:tc>
        <w:tc>
          <w:tcPr>
            <w:tcW w:w="1180" w:type="dxa"/>
            <w:tcBorders>
              <w:left w:val="single" w:sz="4" w:space="0" w:color="000000"/>
              <w:bottom w:val="single" w:sz="4" w:space="0" w:color="auto"/>
            </w:tcBorders>
            <w:shd w:val="clear" w:color="auto" w:fill="auto"/>
            <w:vAlign w:val="center"/>
          </w:tcPr>
          <w:p w:rsidR="00AC1D2B" w:rsidRPr="001C4B26" w:rsidRDefault="00AC1D2B" w:rsidP="003D19AB">
            <w:pPr>
              <w:spacing w:after="0" w:line="240" w:lineRule="auto"/>
              <w:rPr>
                <w:rFonts w:ascii="Tahoma" w:hAnsi="Tahoma" w:cs="Tahoma"/>
                <w:sz w:val="14"/>
                <w:szCs w:val="14"/>
              </w:rPr>
            </w:pPr>
            <w:r w:rsidRPr="001C4B26">
              <w:rPr>
                <w:rFonts w:ascii="Tahoma" w:eastAsia="Times New Roman" w:hAnsi="Tahoma" w:cs="Tahoma"/>
                <w:color w:val="000000"/>
                <w:sz w:val="14"/>
                <w:szCs w:val="14"/>
                <w:lang w:eastAsia="it-IT"/>
              </w:rPr>
              <w:t>Amministratore Unico Venezia Sanità s.r.l.</w:t>
            </w:r>
          </w:p>
        </w:tc>
        <w:tc>
          <w:tcPr>
            <w:tcW w:w="992" w:type="dxa"/>
            <w:tcBorders>
              <w:left w:val="single" w:sz="4" w:space="0" w:color="000000"/>
              <w:bottom w:val="single" w:sz="4" w:space="0" w:color="auto"/>
            </w:tcBorders>
            <w:shd w:val="clear" w:color="auto" w:fill="auto"/>
            <w:vAlign w:val="center"/>
          </w:tcPr>
          <w:p w:rsidR="00AC1D2B" w:rsidRPr="001C4B26" w:rsidRDefault="00AC1D2B" w:rsidP="003D19AB">
            <w:pPr>
              <w:spacing w:after="0" w:line="240" w:lineRule="auto"/>
              <w:rPr>
                <w:rFonts w:ascii="Tahoma" w:hAnsi="Tahoma" w:cs="Tahoma"/>
                <w:sz w:val="14"/>
                <w:szCs w:val="14"/>
              </w:rPr>
            </w:pPr>
            <w:r w:rsidRPr="001C4B26">
              <w:rPr>
                <w:rFonts w:ascii="Tahoma" w:eastAsia="Times New Roman" w:hAnsi="Tahoma" w:cs="Tahoma"/>
                <w:color w:val="000000"/>
                <w:sz w:val="14"/>
                <w:szCs w:val="14"/>
                <w:lang w:eastAsia="it-IT"/>
              </w:rPr>
              <w:t>Avviso di sorteggio pubblico</w:t>
            </w:r>
          </w:p>
        </w:tc>
        <w:tc>
          <w:tcPr>
            <w:tcW w:w="993" w:type="dxa"/>
            <w:tcBorders>
              <w:left w:val="single" w:sz="4" w:space="0" w:color="000000"/>
              <w:bottom w:val="single" w:sz="4" w:space="0" w:color="auto"/>
            </w:tcBorders>
            <w:shd w:val="clear" w:color="auto" w:fill="auto"/>
            <w:vAlign w:val="center"/>
          </w:tcPr>
          <w:p w:rsidR="00AC1D2B" w:rsidRPr="001C4B26" w:rsidRDefault="00AC1D2B" w:rsidP="003D19AB">
            <w:pPr>
              <w:snapToGrid w:val="0"/>
              <w:spacing w:after="0" w:line="240" w:lineRule="auto"/>
              <w:rPr>
                <w:rFonts w:ascii="Tahoma" w:eastAsia="Times New Roman" w:hAnsi="Tahoma" w:cs="Tahoma"/>
                <w:color w:val="000000"/>
                <w:sz w:val="14"/>
                <w:szCs w:val="14"/>
                <w:lang w:eastAsia="it-IT"/>
              </w:rPr>
            </w:pPr>
            <w:r w:rsidRPr="001C4B26">
              <w:rPr>
                <w:rFonts w:ascii="Tahoma" w:eastAsia="Times New Roman" w:hAnsi="Tahoma" w:cs="Tahoma"/>
                <w:color w:val="000000"/>
                <w:sz w:val="14"/>
                <w:szCs w:val="14"/>
                <w:lang w:eastAsia="it-IT"/>
              </w:rPr>
              <w:t>Tempestivo</w:t>
            </w:r>
          </w:p>
        </w:tc>
        <w:tc>
          <w:tcPr>
            <w:tcW w:w="1214" w:type="dxa"/>
            <w:tcBorders>
              <w:left w:val="single" w:sz="4" w:space="0" w:color="000000"/>
              <w:bottom w:val="single" w:sz="4" w:space="0" w:color="auto"/>
              <w:right w:val="single" w:sz="4" w:space="0" w:color="000000"/>
            </w:tcBorders>
            <w:shd w:val="clear" w:color="auto" w:fill="auto"/>
            <w:vAlign w:val="center"/>
          </w:tcPr>
          <w:p w:rsidR="00AC1D2B" w:rsidRPr="001C4B26" w:rsidRDefault="00AC1D2B" w:rsidP="003D19AB">
            <w:pPr>
              <w:spacing w:after="0" w:line="240" w:lineRule="auto"/>
              <w:rPr>
                <w:rFonts w:ascii="Tahoma" w:hAnsi="Tahoma" w:cs="Tahoma"/>
                <w:sz w:val="14"/>
                <w:szCs w:val="14"/>
              </w:rPr>
            </w:pPr>
            <w:r w:rsidRPr="001C4B26">
              <w:rPr>
                <w:rFonts w:ascii="Tahoma" w:eastAsia="Times New Roman" w:hAnsi="Tahoma" w:cs="Tahoma"/>
                <w:color w:val="000000"/>
                <w:sz w:val="14"/>
                <w:szCs w:val="14"/>
                <w:lang w:eastAsia="it-IT"/>
              </w:rPr>
              <w:t>Relazione Responsabile</w:t>
            </w:r>
          </w:p>
        </w:tc>
      </w:tr>
      <w:tr w:rsidR="00237E5F" w:rsidRPr="00237E5F" w:rsidTr="00237E5F">
        <w:trPr>
          <w:trHeight w:val="1247"/>
        </w:trPr>
        <w:tc>
          <w:tcPr>
            <w:tcW w:w="1913" w:type="dxa"/>
            <w:tcBorders>
              <w:top w:val="single" w:sz="4" w:space="0" w:color="auto"/>
              <w:left w:val="single" w:sz="4" w:space="0" w:color="auto"/>
              <w:bottom w:val="single" w:sz="4" w:space="0" w:color="auto"/>
              <w:right w:val="single" w:sz="4" w:space="0" w:color="auto"/>
            </w:tcBorders>
            <w:shd w:val="clear" w:color="auto" w:fill="auto"/>
            <w:vAlign w:val="center"/>
          </w:tcPr>
          <w:p w:rsidR="00237E5F" w:rsidRPr="00237E5F" w:rsidRDefault="00237E5F" w:rsidP="00237E5F">
            <w:pPr>
              <w:pStyle w:val="Default"/>
              <w:rPr>
                <w:rFonts w:ascii="Tahoma" w:hAnsi="Tahoma" w:cs="Tahoma"/>
                <w:sz w:val="14"/>
                <w:szCs w:val="14"/>
              </w:rPr>
            </w:pPr>
            <w:r w:rsidRPr="00237E5F">
              <w:rPr>
                <w:rFonts w:ascii="Tahoma" w:hAnsi="Tahoma" w:cs="Tahoma"/>
                <w:sz w:val="14"/>
                <w:szCs w:val="14"/>
              </w:rPr>
              <w:t>Formazione facoltativa</w:t>
            </w:r>
          </w:p>
        </w:tc>
        <w:tc>
          <w:tcPr>
            <w:tcW w:w="2391" w:type="dxa"/>
            <w:tcBorders>
              <w:top w:val="single" w:sz="4" w:space="0" w:color="auto"/>
              <w:left w:val="single" w:sz="4" w:space="0" w:color="auto"/>
              <w:bottom w:val="single" w:sz="4" w:space="0" w:color="auto"/>
              <w:right w:val="single" w:sz="4" w:space="0" w:color="auto"/>
            </w:tcBorders>
            <w:shd w:val="clear" w:color="auto" w:fill="auto"/>
            <w:vAlign w:val="center"/>
          </w:tcPr>
          <w:p w:rsidR="00237E5F" w:rsidRPr="00237E5F" w:rsidRDefault="00237E5F" w:rsidP="00237E5F">
            <w:pPr>
              <w:pStyle w:val="Default"/>
              <w:rPr>
                <w:rFonts w:ascii="Tahoma" w:hAnsi="Tahoma" w:cs="Tahoma"/>
                <w:sz w:val="14"/>
                <w:szCs w:val="14"/>
              </w:rPr>
            </w:pPr>
            <w:r w:rsidRPr="00237E5F">
              <w:rPr>
                <w:rFonts w:ascii="Tahoma" w:hAnsi="Tahoma" w:cs="Tahoma"/>
                <w:sz w:val="14"/>
                <w:szCs w:val="14"/>
              </w:rPr>
              <w:t>Analisi relativa ai fabbisogni e alla relativa offerta “esterna” di eventi che prevedono il consumo di risorse destinate all'esterno - Piano Formativo</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237E5F" w:rsidRPr="00237E5F" w:rsidRDefault="00237E5F" w:rsidP="00237E5F">
            <w:pPr>
              <w:pStyle w:val="Default"/>
              <w:rPr>
                <w:rFonts w:ascii="Tahoma" w:hAnsi="Tahoma" w:cs="Tahoma"/>
                <w:sz w:val="14"/>
                <w:szCs w:val="14"/>
              </w:rPr>
            </w:pPr>
            <w:r w:rsidRPr="00237E5F">
              <w:rPr>
                <w:rFonts w:ascii="Tahoma" w:hAnsi="Tahoma" w:cs="Tahoma"/>
                <w:sz w:val="14"/>
                <w:szCs w:val="14"/>
              </w:rPr>
              <w:t>Inosservanza di regole procedurali a garanzia della trasparenza e dell’imparzialità</w:t>
            </w:r>
          </w:p>
        </w:tc>
        <w:tc>
          <w:tcPr>
            <w:tcW w:w="992" w:type="dxa"/>
            <w:tcBorders>
              <w:top w:val="single" w:sz="4" w:space="0" w:color="auto"/>
              <w:left w:val="single" w:sz="4" w:space="0" w:color="auto"/>
              <w:bottom w:val="single" w:sz="4" w:space="0" w:color="auto"/>
              <w:right w:val="single" w:sz="4" w:space="0" w:color="auto"/>
            </w:tcBorders>
            <w:shd w:val="clear" w:color="auto" w:fill="FFFF00"/>
            <w:vAlign w:val="center"/>
          </w:tcPr>
          <w:p w:rsidR="00237E5F" w:rsidRPr="00237E5F" w:rsidRDefault="00237E5F" w:rsidP="003D19AB">
            <w:pPr>
              <w:spacing w:after="0" w:line="240" w:lineRule="auto"/>
              <w:jc w:val="center"/>
              <w:rPr>
                <w:rFonts w:ascii="Tahoma" w:eastAsia="Times New Roman" w:hAnsi="Tahoma" w:cs="Tahoma"/>
                <w:color w:val="000000"/>
                <w:sz w:val="14"/>
                <w:szCs w:val="14"/>
                <w:lang w:eastAsia="it-IT"/>
              </w:rPr>
            </w:pPr>
            <w:r w:rsidRPr="00237E5F">
              <w:rPr>
                <w:rFonts w:ascii="Tahoma" w:eastAsia="Times New Roman" w:hAnsi="Tahoma" w:cs="Tahoma"/>
                <w:color w:val="000000"/>
                <w:sz w:val="14"/>
                <w:szCs w:val="14"/>
                <w:lang w:eastAsia="it-IT"/>
              </w:rPr>
              <w:t>Rilevante</w:t>
            </w:r>
          </w:p>
        </w:tc>
        <w:tc>
          <w:tcPr>
            <w:tcW w:w="2597" w:type="dxa"/>
            <w:tcBorders>
              <w:top w:val="single" w:sz="4" w:space="0" w:color="auto"/>
              <w:left w:val="single" w:sz="4" w:space="0" w:color="auto"/>
              <w:bottom w:val="single" w:sz="4" w:space="0" w:color="auto"/>
              <w:right w:val="single" w:sz="4" w:space="0" w:color="auto"/>
            </w:tcBorders>
            <w:shd w:val="clear" w:color="auto" w:fill="auto"/>
            <w:vAlign w:val="center"/>
          </w:tcPr>
          <w:p w:rsidR="00237E5F" w:rsidRPr="00237E5F" w:rsidRDefault="00237E5F" w:rsidP="00237E5F">
            <w:pPr>
              <w:pStyle w:val="Default"/>
              <w:rPr>
                <w:rFonts w:ascii="Tahoma" w:hAnsi="Tahoma" w:cs="Tahoma"/>
                <w:sz w:val="14"/>
                <w:szCs w:val="14"/>
              </w:rPr>
            </w:pPr>
            <w:r w:rsidRPr="00237E5F">
              <w:rPr>
                <w:rFonts w:ascii="Tahoma" w:hAnsi="Tahoma" w:cs="Tahoma"/>
                <w:sz w:val="14"/>
                <w:szCs w:val="14"/>
              </w:rPr>
              <w:t>Implementazione della procedura specifica</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rsidR="00237E5F" w:rsidRDefault="00237E5F" w:rsidP="00237E5F">
            <w:pPr>
              <w:spacing w:after="0"/>
            </w:pPr>
            <w:r w:rsidRPr="002172C7">
              <w:rPr>
                <w:rFonts w:ascii="Tahoma" w:eastAsia="Times New Roman" w:hAnsi="Tahoma" w:cs="Tahoma"/>
                <w:color w:val="000000"/>
                <w:sz w:val="14"/>
                <w:szCs w:val="14"/>
                <w:lang w:eastAsia="it-IT"/>
              </w:rPr>
              <w:t>Amministratore Unico Venezia Sanità s.r.l.</w:t>
            </w:r>
            <w:r>
              <w:rPr>
                <w:rFonts w:ascii="Tahoma" w:eastAsia="Times New Roman" w:hAnsi="Tahoma" w:cs="Tahoma"/>
                <w:color w:val="000000"/>
                <w:sz w:val="14"/>
                <w:szCs w:val="14"/>
                <w:lang w:eastAsia="it-IT"/>
              </w:rPr>
              <w:t xml:space="preserve"> e Responsabile f.f. UOSD Formazione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37E5F" w:rsidRPr="00237E5F" w:rsidRDefault="00237E5F" w:rsidP="00237E5F">
            <w:pPr>
              <w:pStyle w:val="Default"/>
              <w:rPr>
                <w:rFonts w:ascii="Tahoma" w:hAnsi="Tahoma" w:cs="Tahoma"/>
                <w:sz w:val="14"/>
                <w:szCs w:val="14"/>
              </w:rPr>
            </w:pPr>
            <w:r w:rsidRPr="00237E5F">
              <w:rPr>
                <w:rFonts w:ascii="Tahoma" w:hAnsi="Tahoma" w:cs="Tahoma"/>
                <w:sz w:val="14"/>
                <w:szCs w:val="14"/>
              </w:rPr>
              <w:t>Implementazione della procedura specifica</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37E5F" w:rsidRPr="00237E5F" w:rsidRDefault="008D64FB" w:rsidP="00237E5F">
            <w:pPr>
              <w:pStyle w:val="Default"/>
              <w:rPr>
                <w:rFonts w:ascii="Tahoma" w:hAnsi="Tahoma" w:cs="Tahoma"/>
                <w:sz w:val="14"/>
                <w:szCs w:val="14"/>
              </w:rPr>
            </w:pPr>
            <w:r>
              <w:rPr>
                <w:rFonts w:ascii="Tahoma" w:hAnsi="Tahoma" w:cs="Tahoma"/>
                <w:sz w:val="14"/>
                <w:szCs w:val="14"/>
              </w:rPr>
              <w:t>Tempestivo</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rsidR="00237E5F" w:rsidRPr="00237E5F" w:rsidRDefault="00237E5F" w:rsidP="00237E5F">
            <w:pPr>
              <w:pStyle w:val="Default"/>
              <w:rPr>
                <w:rFonts w:ascii="Tahoma" w:hAnsi="Tahoma" w:cs="Tahoma"/>
                <w:sz w:val="14"/>
                <w:szCs w:val="14"/>
              </w:rPr>
            </w:pPr>
            <w:r w:rsidRPr="00237E5F">
              <w:rPr>
                <w:rFonts w:ascii="Tahoma" w:hAnsi="Tahoma" w:cs="Tahoma"/>
                <w:sz w:val="14"/>
                <w:szCs w:val="14"/>
              </w:rPr>
              <w:t>Relazione al RPCT</w:t>
            </w:r>
          </w:p>
        </w:tc>
      </w:tr>
      <w:tr w:rsidR="00237E5F" w:rsidRPr="00237E5F" w:rsidTr="001D185F">
        <w:trPr>
          <w:trHeight w:val="1247"/>
        </w:trPr>
        <w:tc>
          <w:tcPr>
            <w:tcW w:w="1913" w:type="dxa"/>
            <w:tcBorders>
              <w:top w:val="single" w:sz="4" w:space="0" w:color="auto"/>
              <w:left w:val="single" w:sz="4" w:space="0" w:color="auto"/>
              <w:bottom w:val="single" w:sz="4" w:space="0" w:color="auto"/>
              <w:right w:val="single" w:sz="4" w:space="0" w:color="auto"/>
            </w:tcBorders>
            <w:shd w:val="clear" w:color="auto" w:fill="auto"/>
            <w:vAlign w:val="center"/>
          </w:tcPr>
          <w:p w:rsidR="00237E5F" w:rsidRPr="00237E5F" w:rsidRDefault="00237E5F" w:rsidP="00237E5F">
            <w:pPr>
              <w:pStyle w:val="Default"/>
              <w:rPr>
                <w:rFonts w:ascii="Tahoma" w:hAnsi="Tahoma" w:cs="Tahoma"/>
                <w:sz w:val="14"/>
                <w:szCs w:val="14"/>
              </w:rPr>
            </w:pPr>
            <w:r w:rsidRPr="00237E5F">
              <w:rPr>
                <w:rFonts w:ascii="Tahoma" w:hAnsi="Tahoma" w:cs="Tahoma"/>
                <w:sz w:val="14"/>
                <w:szCs w:val="14"/>
              </w:rPr>
              <w:t xml:space="preserve">Formazione a mercato su domanda esterna non sponsorizzata </w:t>
            </w:r>
          </w:p>
        </w:tc>
        <w:tc>
          <w:tcPr>
            <w:tcW w:w="2391" w:type="dxa"/>
            <w:tcBorders>
              <w:top w:val="single" w:sz="4" w:space="0" w:color="auto"/>
              <w:left w:val="single" w:sz="4" w:space="0" w:color="auto"/>
              <w:bottom w:val="single" w:sz="4" w:space="0" w:color="auto"/>
              <w:right w:val="single" w:sz="4" w:space="0" w:color="auto"/>
            </w:tcBorders>
            <w:shd w:val="clear" w:color="auto" w:fill="auto"/>
            <w:vAlign w:val="center"/>
          </w:tcPr>
          <w:p w:rsidR="00237E5F" w:rsidRPr="00237E5F" w:rsidRDefault="00237E5F" w:rsidP="00237E5F">
            <w:pPr>
              <w:pStyle w:val="Default"/>
              <w:rPr>
                <w:rFonts w:ascii="Tahoma" w:hAnsi="Tahoma" w:cs="Tahoma"/>
                <w:sz w:val="14"/>
                <w:szCs w:val="14"/>
              </w:rPr>
            </w:pPr>
            <w:r w:rsidRPr="00237E5F">
              <w:rPr>
                <w:rFonts w:ascii="Tahoma" w:hAnsi="Tahoma" w:cs="Tahoma"/>
                <w:sz w:val="14"/>
                <w:szCs w:val="14"/>
              </w:rPr>
              <w:t>Eventuale progettazione eventi formativi - Verifica contabile amministrativa - Liquidazione</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237E5F" w:rsidRPr="00237E5F" w:rsidRDefault="00237E5F" w:rsidP="00237E5F">
            <w:pPr>
              <w:pStyle w:val="Default"/>
              <w:rPr>
                <w:rFonts w:ascii="Tahoma" w:hAnsi="Tahoma" w:cs="Tahoma"/>
                <w:sz w:val="14"/>
                <w:szCs w:val="14"/>
              </w:rPr>
            </w:pPr>
            <w:r w:rsidRPr="00237E5F">
              <w:rPr>
                <w:rFonts w:ascii="Tahoma" w:hAnsi="Tahoma" w:cs="Tahoma"/>
                <w:sz w:val="14"/>
                <w:szCs w:val="14"/>
              </w:rPr>
              <w:t>Insufficiente giustificazione rispetto alla domanda e non osservanza di codici comportamentali e regole procedurali a garanzia della trasparenza e dell’imparzialità</w:t>
            </w:r>
          </w:p>
        </w:tc>
        <w:tc>
          <w:tcPr>
            <w:tcW w:w="992" w:type="dxa"/>
            <w:tcBorders>
              <w:top w:val="single" w:sz="4" w:space="0" w:color="auto"/>
              <w:left w:val="single" w:sz="4" w:space="0" w:color="auto"/>
              <w:bottom w:val="single" w:sz="4" w:space="0" w:color="auto"/>
              <w:right w:val="single" w:sz="4" w:space="0" w:color="auto"/>
            </w:tcBorders>
            <w:shd w:val="clear" w:color="auto" w:fill="92D050"/>
            <w:vAlign w:val="center"/>
          </w:tcPr>
          <w:p w:rsidR="00237E5F" w:rsidRPr="00237E5F" w:rsidRDefault="00237E5F" w:rsidP="00237E5F">
            <w:pPr>
              <w:pStyle w:val="Default"/>
              <w:jc w:val="center"/>
              <w:rPr>
                <w:rFonts w:ascii="Tahoma" w:hAnsi="Tahoma" w:cs="Tahoma"/>
                <w:sz w:val="14"/>
                <w:szCs w:val="14"/>
              </w:rPr>
            </w:pPr>
            <w:r w:rsidRPr="00237E5F">
              <w:rPr>
                <w:rFonts w:ascii="Tahoma" w:hAnsi="Tahoma" w:cs="Tahoma"/>
                <w:sz w:val="14"/>
                <w:szCs w:val="14"/>
              </w:rPr>
              <w:t>Medio-basso</w:t>
            </w:r>
          </w:p>
        </w:tc>
        <w:tc>
          <w:tcPr>
            <w:tcW w:w="2597" w:type="dxa"/>
            <w:tcBorders>
              <w:top w:val="single" w:sz="4" w:space="0" w:color="auto"/>
              <w:left w:val="single" w:sz="4" w:space="0" w:color="auto"/>
              <w:bottom w:val="single" w:sz="4" w:space="0" w:color="auto"/>
              <w:right w:val="single" w:sz="4" w:space="0" w:color="auto"/>
            </w:tcBorders>
            <w:shd w:val="clear" w:color="auto" w:fill="auto"/>
            <w:vAlign w:val="center"/>
          </w:tcPr>
          <w:p w:rsidR="00237E5F" w:rsidRPr="00237E5F" w:rsidRDefault="00237E5F" w:rsidP="00237E5F">
            <w:pPr>
              <w:pStyle w:val="Default"/>
              <w:rPr>
                <w:rFonts w:ascii="Tahoma" w:hAnsi="Tahoma" w:cs="Tahoma"/>
                <w:sz w:val="14"/>
                <w:szCs w:val="14"/>
              </w:rPr>
            </w:pPr>
            <w:r w:rsidRPr="00237E5F">
              <w:rPr>
                <w:rFonts w:ascii="Tahoma" w:hAnsi="Tahoma" w:cs="Tahoma"/>
                <w:sz w:val="14"/>
                <w:szCs w:val="14"/>
              </w:rPr>
              <w:t xml:space="preserve">Verifica implementazione della procedura </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rsidR="00237E5F" w:rsidRDefault="00237E5F" w:rsidP="001D185F">
            <w:pPr>
              <w:spacing w:after="0"/>
            </w:pPr>
            <w:r w:rsidRPr="002172C7">
              <w:rPr>
                <w:rFonts w:ascii="Tahoma" w:eastAsia="Times New Roman" w:hAnsi="Tahoma" w:cs="Tahoma"/>
                <w:color w:val="000000"/>
                <w:sz w:val="14"/>
                <w:szCs w:val="14"/>
                <w:lang w:eastAsia="it-IT"/>
              </w:rPr>
              <w:t>Amministratore Unico Venezia Sanità s.r.l.</w:t>
            </w:r>
            <w:r>
              <w:rPr>
                <w:rFonts w:ascii="Tahoma" w:eastAsia="Times New Roman" w:hAnsi="Tahoma" w:cs="Tahoma"/>
                <w:color w:val="000000"/>
                <w:sz w:val="14"/>
                <w:szCs w:val="14"/>
                <w:lang w:eastAsia="it-IT"/>
              </w:rPr>
              <w:t xml:space="preserve"> e Responsabile f.f. UOSD Formazione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37E5F" w:rsidRPr="00237E5F" w:rsidRDefault="00237E5F" w:rsidP="001D185F">
            <w:pPr>
              <w:pStyle w:val="Default"/>
              <w:rPr>
                <w:rFonts w:ascii="Tahoma" w:hAnsi="Tahoma" w:cs="Tahoma"/>
                <w:sz w:val="14"/>
                <w:szCs w:val="14"/>
              </w:rPr>
            </w:pPr>
            <w:r w:rsidRPr="00237E5F">
              <w:rPr>
                <w:rFonts w:ascii="Tahoma" w:hAnsi="Tahoma" w:cs="Tahoma"/>
                <w:sz w:val="14"/>
                <w:szCs w:val="14"/>
              </w:rPr>
              <w:t>Implementazione della procedura specifica</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37E5F" w:rsidRPr="00237E5F" w:rsidRDefault="008D64FB" w:rsidP="001D185F">
            <w:pPr>
              <w:pStyle w:val="Default"/>
              <w:rPr>
                <w:rFonts w:ascii="Tahoma" w:hAnsi="Tahoma" w:cs="Tahoma"/>
                <w:sz w:val="14"/>
                <w:szCs w:val="14"/>
              </w:rPr>
            </w:pPr>
            <w:r>
              <w:rPr>
                <w:rFonts w:ascii="Tahoma" w:hAnsi="Tahoma" w:cs="Tahoma"/>
                <w:sz w:val="14"/>
                <w:szCs w:val="14"/>
              </w:rPr>
              <w:t>Tempestivo</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rsidR="00237E5F" w:rsidRPr="00237E5F" w:rsidRDefault="00237E5F" w:rsidP="001D185F">
            <w:pPr>
              <w:pStyle w:val="Default"/>
              <w:rPr>
                <w:rFonts w:ascii="Tahoma" w:hAnsi="Tahoma" w:cs="Tahoma"/>
                <w:sz w:val="14"/>
                <w:szCs w:val="14"/>
              </w:rPr>
            </w:pPr>
            <w:r w:rsidRPr="00237E5F">
              <w:rPr>
                <w:rFonts w:ascii="Tahoma" w:hAnsi="Tahoma" w:cs="Tahoma"/>
                <w:sz w:val="14"/>
                <w:szCs w:val="14"/>
              </w:rPr>
              <w:t>Relazione al RPCT</w:t>
            </w:r>
          </w:p>
        </w:tc>
      </w:tr>
      <w:tr w:rsidR="00237E5F" w:rsidRPr="00237E5F" w:rsidTr="001D185F">
        <w:trPr>
          <w:trHeight w:val="1247"/>
        </w:trPr>
        <w:tc>
          <w:tcPr>
            <w:tcW w:w="1913" w:type="dxa"/>
            <w:tcBorders>
              <w:top w:val="single" w:sz="4" w:space="0" w:color="auto"/>
              <w:left w:val="single" w:sz="4" w:space="0" w:color="auto"/>
              <w:bottom w:val="single" w:sz="4" w:space="0" w:color="auto"/>
              <w:right w:val="single" w:sz="4" w:space="0" w:color="auto"/>
            </w:tcBorders>
            <w:shd w:val="clear" w:color="auto" w:fill="auto"/>
            <w:vAlign w:val="center"/>
          </w:tcPr>
          <w:p w:rsidR="00237E5F" w:rsidRPr="00237E5F" w:rsidRDefault="00237E5F" w:rsidP="00237E5F">
            <w:pPr>
              <w:pStyle w:val="Default"/>
              <w:rPr>
                <w:rFonts w:ascii="Tahoma" w:hAnsi="Tahoma" w:cs="Tahoma"/>
                <w:sz w:val="14"/>
                <w:szCs w:val="14"/>
              </w:rPr>
            </w:pPr>
            <w:r w:rsidRPr="00237E5F">
              <w:rPr>
                <w:rFonts w:ascii="Tahoma" w:hAnsi="Tahoma" w:cs="Tahoma"/>
                <w:sz w:val="14"/>
                <w:szCs w:val="14"/>
              </w:rPr>
              <w:lastRenderedPageBreak/>
              <w:t>Formazione a mercato su offerta "interna"</w:t>
            </w:r>
          </w:p>
        </w:tc>
        <w:tc>
          <w:tcPr>
            <w:tcW w:w="2391" w:type="dxa"/>
            <w:tcBorders>
              <w:top w:val="single" w:sz="4" w:space="0" w:color="auto"/>
              <w:left w:val="single" w:sz="4" w:space="0" w:color="auto"/>
              <w:bottom w:val="single" w:sz="4" w:space="0" w:color="auto"/>
              <w:right w:val="single" w:sz="4" w:space="0" w:color="auto"/>
            </w:tcBorders>
            <w:shd w:val="clear" w:color="auto" w:fill="auto"/>
            <w:vAlign w:val="center"/>
          </w:tcPr>
          <w:p w:rsidR="00237E5F" w:rsidRPr="00237E5F" w:rsidRDefault="00237E5F" w:rsidP="00237E5F">
            <w:pPr>
              <w:pStyle w:val="Default"/>
              <w:rPr>
                <w:rFonts w:ascii="Tahoma" w:hAnsi="Tahoma" w:cs="Tahoma"/>
                <w:sz w:val="14"/>
                <w:szCs w:val="14"/>
              </w:rPr>
            </w:pPr>
            <w:r w:rsidRPr="00237E5F">
              <w:rPr>
                <w:rFonts w:ascii="Tahoma" w:hAnsi="Tahoma" w:cs="Tahoma"/>
                <w:sz w:val="14"/>
                <w:szCs w:val="14"/>
              </w:rPr>
              <w:t>Iter autorizzativo - Commercializzazione - Verifica contabile amministrativa - Liquidazione</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237E5F" w:rsidRPr="00237E5F" w:rsidRDefault="00237E5F" w:rsidP="00237E5F">
            <w:pPr>
              <w:pStyle w:val="Default"/>
              <w:rPr>
                <w:rFonts w:ascii="Tahoma" w:hAnsi="Tahoma" w:cs="Tahoma"/>
                <w:sz w:val="14"/>
                <w:szCs w:val="14"/>
              </w:rPr>
            </w:pPr>
            <w:r w:rsidRPr="00237E5F">
              <w:rPr>
                <w:rFonts w:ascii="Tahoma" w:hAnsi="Tahoma" w:cs="Tahoma"/>
                <w:sz w:val="14"/>
                <w:szCs w:val="14"/>
              </w:rPr>
              <w:t>Inosservanza di regole procedurali a garanzia della trasparenza e dell’imparzialità</w:t>
            </w:r>
          </w:p>
        </w:tc>
        <w:tc>
          <w:tcPr>
            <w:tcW w:w="992" w:type="dxa"/>
            <w:tcBorders>
              <w:top w:val="single" w:sz="4" w:space="0" w:color="auto"/>
              <w:left w:val="single" w:sz="4" w:space="0" w:color="auto"/>
              <w:bottom w:val="single" w:sz="4" w:space="0" w:color="auto"/>
              <w:right w:val="single" w:sz="4" w:space="0" w:color="auto"/>
            </w:tcBorders>
            <w:shd w:val="clear" w:color="auto" w:fill="92D050"/>
            <w:vAlign w:val="center"/>
          </w:tcPr>
          <w:p w:rsidR="00237E5F" w:rsidRPr="00237E5F" w:rsidRDefault="00237E5F" w:rsidP="001D185F">
            <w:pPr>
              <w:pStyle w:val="Default"/>
              <w:jc w:val="center"/>
              <w:rPr>
                <w:rFonts w:ascii="Tahoma" w:hAnsi="Tahoma" w:cs="Tahoma"/>
                <w:sz w:val="14"/>
                <w:szCs w:val="14"/>
              </w:rPr>
            </w:pPr>
            <w:r w:rsidRPr="00237E5F">
              <w:rPr>
                <w:rFonts w:ascii="Tahoma" w:hAnsi="Tahoma" w:cs="Tahoma"/>
                <w:sz w:val="14"/>
                <w:szCs w:val="14"/>
              </w:rPr>
              <w:t>Medio-basso</w:t>
            </w:r>
          </w:p>
        </w:tc>
        <w:tc>
          <w:tcPr>
            <w:tcW w:w="2597" w:type="dxa"/>
            <w:tcBorders>
              <w:top w:val="single" w:sz="4" w:space="0" w:color="auto"/>
              <w:left w:val="single" w:sz="4" w:space="0" w:color="auto"/>
              <w:bottom w:val="single" w:sz="4" w:space="0" w:color="auto"/>
              <w:right w:val="single" w:sz="4" w:space="0" w:color="auto"/>
            </w:tcBorders>
            <w:shd w:val="clear" w:color="auto" w:fill="auto"/>
            <w:vAlign w:val="center"/>
          </w:tcPr>
          <w:p w:rsidR="00237E5F" w:rsidRPr="00237E5F" w:rsidRDefault="00237E5F" w:rsidP="00237E5F">
            <w:pPr>
              <w:pStyle w:val="Default"/>
              <w:rPr>
                <w:rFonts w:ascii="Tahoma" w:hAnsi="Tahoma" w:cs="Tahoma"/>
                <w:sz w:val="14"/>
                <w:szCs w:val="14"/>
              </w:rPr>
            </w:pPr>
            <w:r w:rsidRPr="00237E5F">
              <w:rPr>
                <w:rFonts w:ascii="Tahoma" w:hAnsi="Tahoma" w:cs="Tahoma"/>
                <w:sz w:val="14"/>
                <w:szCs w:val="14"/>
              </w:rPr>
              <w:t>Rispetto Regolamento e procedura</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rsidR="00237E5F" w:rsidRDefault="00237E5F" w:rsidP="001D185F">
            <w:pPr>
              <w:spacing w:after="0"/>
            </w:pPr>
            <w:r w:rsidRPr="002172C7">
              <w:rPr>
                <w:rFonts w:ascii="Tahoma" w:eastAsia="Times New Roman" w:hAnsi="Tahoma" w:cs="Tahoma"/>
                <w:color w:val="000000"/>
                <w:sz w:val="14"/>
                <w:szCs w:val="14"/>
                <w:lang w:eastAsia="it-IT"/>
              </w:rPr>
              <w:t>Amministratore Unico Venezia Sanità s.r.l.</w:t>
            </w:r>
            <w:r>
              <w:rPr>
                <w:rFonts w:ascii="Tahoma" w:eastAsia="Times New Roman" w:hAnsi="Tahoma" w:cs="Tahoma"/>
                <w:color w:val="000000"/>
                <w:sz w:val="14"/>
                <w:szCs w:val="14"/>
                <w:lang w:eastAsia="it-IT"/>
              </w:rPr>
              <w:t xml:space="preserve"> e Responsabile f.f. UOSD Formazione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37E5F" w:rsidRPr="00237E5F" w:rsidRDefault="00237E5F" w:rsidP="00237E5F">
            <w:pPr>
              <w:pStyle w:val="Default"/>
              <w:rPr>
                <w:rFonts w:ascii="Tahoma" w:hAnsi="Tahoma" w:cs="Tahoma"/>
                <w:sz w:val="14"/>
                <w:szCs w:val="14"/>
              </w:rPr>
            </w:pPr>
            <w:r w:rsidRPr="00237E5F">
              <w:rPr>
                <w:rFonts w:ascii="Tahoma" w:hAnsi="Tahoma" w:cs="Tahoma"/>
                <w:sz w:val="14"/>
                <w:szCs w:val="14"/>
              </w:rPr>
              <w:t xml:space="preserve">Rispetto Regolamento e procedura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37E5F" w:rsidRPr="00237E5F" w:rsidRDefault="008D64FB" w:rsidP="001D185F">
            <w:pPr>
              <w:pStyle w:val="Default"/>
              <w:rPr>
                <w:rFonts w:ascii="Tahoma" w:hAnsi="Tahoma" w:cs="Tahoma"/>
                <w:sz w:val="14"/>
                <w:szCs w:val="14"/>
              </w:rPr>
            </w:pPr>
            <w:r>
              <w:rPr>
                <w:rFonts w:ascii="Tahoma" w:hAnsi="Tahoma" w:cs="Tahoma"/>
                <w:sz w:val="14"/>
                <w:szCs w:val="14"/>
              </w:rPr>
              <w:t>Tempestiva</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rsidR="00237E5F" w:rsidRPr="00237E5F" w:rsidRDefault="00237E5F" w:rsidP="001D185F">
            <w:pPr>
              <w:pStyle w:val="Default"/>
              <w:rPr>
                <w:rFonts w:ascii="Tahoma" w:hAnsi="Tahoma" w:cs="Tahoma"/>
                <w:sz w:val="14"/>
                <w:szCs w:val="14"/>
              </w:rPr>
            </w:pPr>
            <w:r w:rsidRPr="00237E5F">
              <w:rPr>
                <w:rFonts w:ascii="Tahoma" w:hAnsi="Tahoma" w:cs="Tahoma"/>
                <w:sz w:val="14"/>
                <w:szCs w:val="14"/>
              </w:rPr>
              <w:t>Relazione al RPCT</w:t>
            </w:r>
          </w:p>
        </w:tc>
      </w:tr>
    </w:tbl>
    <w:p w:rsidR="00CC7B4D" w:rsidRDefault="00CC7B4D">
      <w:pPr>
        <w:spacing w:after="0" w:line="240" w:lineRule="auto"/>
      </w:pPr>
    </w:p>
    <w:p w:rsidR="00CC7B4D" w:rsidRDefault="00CC7B4D" w:rsidP="00F0440E">
      <w:pPr>
        <w:spacing w:after="0" w:line="240" w:lineRule="auto"/>
      </w:pPr>
    </w:p>
    <w:sectPr w:rsidR="00CC7B4D" w:rsidSect="00F0440E">
      <w:pgSz w:w="16838" w:h="11906" w:orient="landscape"/>
      <w:pgMar w:top="1134" w:right="1418" w:bottom="1128" w:left="1134" w:header="720" w:footer="720" w:gutter="0"/>
      <w:cols w:space="720"/>
      <w:docGrid w:linePitch="360" w:charSpace="-2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0D25" w:rsidRDefault="006F0D25">
      <w:pPr>
        <w:spacing w:after="0" w:line="240" w:lineRule="auto"/>
      </w:pPr>
      <w:r>
        <w:separator/>
      </w:r>
    </w:p>
  </w:endnote>
  <w:endnote w:type="continuationSeparator" w:id="1">
    <w:p w:rsidR="006F0D25" w:rsidRDefault="006F0D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Liberation Serif">
    <w:panose1 w:val="02020603050405020304"/>
    <w:charset w:val="00"/>
    <w:family w:val="roman"/>
    <w:pitch w:val="variable"/>
    <w:sig w:usb0="E0000AFF" w:usb1="500078FF" w:usb2="00000021" w:usb3="00000000" w:csb0="000001B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Symbol">
    <w:panose1 w:val="05010000000000000000"/>
    <w:charset w:val="00"/>
    <w:family w:val="auto"/>
    <w:pitch w:val="variable"/>
    <w:sig w:usb0="800000AF" w:usb1="1001ECEA" w:usb2="00000000" w:usb3="00000000" w:csb0="00000001" w:csb1="00000000"/>
  </w:font>
  <w:font w:name="MS ??">
    <w:charset w:val="00"/>
    <w:family w:val="roman"/>
    <w:pitch w:val="default"/>
    <w:sig w:usb0="00000000" w:usb1="00000000" w:usb2="00000000" w:usb3="00000000" w:csb0="00000000"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0C0" w:rsidRPr="00452379" w:rsidRDefault="002110C0" w:rsidP="00452379">
    <w:pPr>
      <w:pStyle w:val="Pidipagina"/>
      <w:spacing w:after="0"/>
      <w:jc w:val="right"/>
      <w:rPr>
        <w:rFonts w:ascii="Tahoma" w:hAnsi="Tahoma" w:cs="Tahoma"/>
        <w:sz w:val="20"/>
        <w:szCs w:val="20"/>
      </w:rPr>
    </w:pPr>
    <w:r w:rsidRPr="00452379">
      <w:rPr>
        <w:rFonts w:ascii="Tahoma" w:hAnsi="Tahoma" w:cs="Tahoma"/>
        <w:sz w:val="20"/>
        <w:szCs w:val="20"/>
      </w:rPr>
      <w:t xml:space="preserve">pag. </w:t>
    </w:r>
    <w:r w:rsidR="00EA3C3F" w:rsidRPr="00452379">
      <w:rPr>
        <w:rFonts w:ascii="Tahoma" w:hAnsi="Tahoma" w:cs="Tahoma"/>
        <w:sz w:val="20"/>
        <w:szCs w:val="20"/>
      </w:rPr>
      <w:fldChar w:fldCharType="begin"/>
    </w:r>
    <w:r w:rsidRPr="00452379">
      <w:rPr>
        <w:rFonts w:ascii="Tahoma" w:hAnsi="Tahoma" w:cs="Tahoma"/>
        <w:sz w:val="20"/>
        <w:szCs w:val="20"/>
      </w:rPr>
      <w:instrText xml:space="preserve"> PAGE    \* MERGEFORMAT </w:instrText>
    </w:r>
    <w:r w:rsidR="00EA3C3F" w:rsidRPr="00452379">
      <w:rPr>
        <w:rFonts w:ascii="Tahoma" w:hAnsi="Tahoma" w:cs="Tahoma"/>
        <w:sz w:val="20"/>
        <w:szCs w:val="20"/>
      </w:rPr>
      <w:fldChar w:fldCharType="separate"/>
    </w:r>
    <w:r w:rsidR="00E00CB0">
      <w:rPr>
        <w:rFonts w:ascii="Tahoma" w:hAnsi="Tahoma" w:cs="Tahoma"/>
        <w:noProof/>
        <w:sz w:val="20"/>
        <w:szCs w:val="20"/>
      </w:rPr>
      <w:t>17</w:t>
    </w:r>
    <w:r w:rsidR="00EA3C3F" w:rsidRPr="00452379">
      <w:rPr>
        <w:rFonts w:ascii="Tahoma" w:hAnsi="Tahoma" w:cs="Tahoma"/>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0C0" w:rsidRPr="00452379" w:rsidRDefault="002110C0" w:rsidP="00452379">
    <w:pPr>
      <w:pStyle w:val="Pidipagina"/>
      <w:spacing w:after="0"/>
      <w:jc w:val="right"/>
      <w:rPr>
        <w:rFonts w:ascii="Tahoma" w:hAnsi="Tahoma" w:cs="Tahoma"/>
        <w:sz w:val="20"/>
        <w:szCs w:val="20"/>
      </w:rPr>
    </w:pPr>
    <w:r w:rsidRPr="00452379">
      <w:rPr>
        <w:rFonts w:ascii="Tahoma" w:hAnsi="Tahoma" w:cs="Tahoma"/>
        <w:sz w:val="20"/>
        <w:szCs w:val="20"/>
      </w:rPr>
      <w:t xml:space="preserve">pag. </w:t>
    </w:r>
    <w:r w:rsidR="00EA3C3F" w:rsidRPr="00452379">
      <w:rPr>
        <w:rFonts w:ascii="Tahoma" w:hAnsi="Tahoma" w:cs="Tahoma"/>
        <w:sz w:val="20"/>
        <w:szCs w:val="20"/>
      </w:rPr>
      <w:fldChar w:fldCharType="begin"/>
    </w:r>
    <w:r w:rsidRPr="00452379">
      <w:rPr>
        <w:rFonts w:ascii="Tahoma" w:hAnsi="Tahoma" w:cs="Tahoma"/>
        <w:sz w:val="20"/>
        <w:szCs w:val="20"/>
      </w:rPr>
      <w:instrText xml:space="preserve"> PAGE    \* MERGEFORMAT </w:instrText>
    </w:r>
    <w:r w:rsidR="00EA3C3F" w:rsidRPr="00452379">
      <w:rPr>
        <w:rFonts w:ascii="Tahoma" w:hAnsi="Tahoma" w:cs="Tahoma"/>
        <w:sz w:val="20"/>
        <w:szCs w:val="20"/>
      </w:rPr>
      <w:fldChar w:fldCharType="separate"/>
    </w:r>
    <w:r>
      <w:rPr>
        <w:rFonts w:ascii="Tahoma" w:hAnsi="Tahoma" w:cs="Tahoma"/>
        <w:noProof/>
        <w:sz w:val="20"/>
        <w:szCs w:val="20"/>
      </w:rPr>
      <w:t>1</w:t>
    </w:r>
    <w:r w:rsidR="00EA3C3F" w:rsidRPr="00452379">
      <w:rPr>
        <w:rFonts w:ascii="Tahoma" w:hAnsi="Tahoma" w:cs="Tahoma"/>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0D25" w:rsidRDefault="006F0D25">
      <w:pPr>
        <w:spacing w:after="0" w:line="240" w:lineRule="auto"/>
      </w:pPr>
      <w:r>
        <w:separator/>
      </w:r>
    </w:p>
  </w:footnote>
  <w:footnote w:type="continuationSeparator" w:id="1">
    <w:p w:rsidR="006F0D25" w:rsidRDefault="006F0D25">
      <w:pPr>
        <w:spacing w:after="0" w:line="240" w:lineRule="auto"/>
      </w:pPr>
      <w:r>
        <w:continuationSeparator/>
      </w:r>
    </w:p>
  </w:footnote>
  <w:footnote w:id="2">
    <w:p w:rsidR="002110C0" w:rsidRDefault="002110C0" w:rsidP="00D87200">
      <w:r>
        <w:rPr>
          <w:rStyle w:val="Caratterinotaapidipagina"/>
          <w:rFonts w:ascii="Tahoma" w:hAnsi="Tahoma"/>
        </w:rPr>
        <w:footnoteRef/>
      </w:r>
      <w:r>
        <w:rPr>
          <w:rFonts w:ascii="Tahoma" w:eastAsia="Tahoma" w:hAnsi="Tahoma" w:cs="Tahoma"/>
          <w:sz w:val="18"/>
        </w:rPr>
        <w:t xml:space="preserve"> </w:t>
      </w:r>
      <w:r>
        <w:rPr>
          <w:rFonts w:ascii="Tahoma" w:hAnsi="Tahoma" w:cs="Tahoma"/>
          <w:sz w:val="18"/>
        </w:rPr>
        <w:t>Al momento dell’approvazione del presente Piano, le nuove linee guida, sostitutive di quelle contenute nella delibera ANAC 8/2015, sono in consultazione pubblica sul sito internet dell’Autorità.</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0C0" w:rsidRDefault="002110C0" w:rsidP="00452379">
    <w:pPr>
      <w:pStyle w:val="Intestazione"/>
      <w:spacing w:after="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1"/>
    <w:lvl w:ilvl="0">
      <w:start w:val="1"/>
      <w:numFmt w:val="lowerLetter"/>
      <w:lvlText w:val="%1)"/>
      <w:lvlJc w:val="left"/>
      <w:pPr>
        <w:tabs>
          <w:tab w:val="num" w:pos="0"/>
        </w:tabs>
        <w:ind w:left="0" w:firstLine="0"/>
      </w:pPr>
    </w:lvl>
  </w:abstractNum>
  <w:abstractNum w:abstractNumId="2">
    <w:nsid w:val="00000003"/>
    <w:multiLevelType w:val="singleLevel"/>
    <w:tmpl w:val="00000003"/>
    <w:name w:val="WW8Num4"/>
    <w:lvl w:ilvl="0">
      <w:start w:val="1"/>
      <w:numFmt w:val="bullet"/>
      <w:lvlText w:val="-"/>
      <w:lvlJc w:val="left"/>
      <w:pPr>
        <w:tabs>
          <w:tab w:val="num" w:pos="0"/>
        </w:tabs>
        <w:ind w:left="0" w:firstLine="0"/>
      </w:pPr>
      <w:rPr>
        <w:rFonts w:ascii="Liberation Serif" w:hAnsi="Liberation Serif" w:cs="Tahoma"/>
        <w:sz w:val="20"/>
        <w:szCs w:val="20"/>
      </w:rPr>
    </w:lvl>
  </w:abstractNum>
  <w:abstractNum w:abstractNumId="3">
    <w:nsid w:val="00000004"/>
    <w:multiLevelType w:val="singleLevel"/>
    <w:tmpl w:val="00000004"/>
    <w:name w:val="WW8Num5"/>
    <w:lvl w:ilvl="0">
      <w:start w:val="1"/>
      <w:numFmt w:val="bullet"/>
      <w:lvlText w:val="-"/>
      <w:lvlJc w:val="left"/>
      <w:pPr>
        <w:tabs>
          <w:tab w:val="num" w:pos="0"/>
        </w:tabs>
        <w:ind w:left="0" w:firstLine="0"/>
      </w:pPr>
      <w:rPr>
        <w:rFonts w:ascii="Liberation Serif" w:hAnsi="Liberation Serif" w:cs="Tahoma"/>
        <w:sz w:val="20"/>
        <w:szCs w:val="20"/>
      </w:rPr>
    </w:lvl>
  </w:abstractNum>
  <w:abstractNum w:abstractNumId="4">
    <w:nsid w:val="00000005"/>
    <w:multiLevelType w:val="multilevel"/>
    <w:tmpl w:val="00000005"/>
    <w:name w:val="WW8Num10"/>
    <w:lvl w:ilvl="0">
      <w:start w:val="1"/>
      <w:numFmt w:val="bullet"/>
      <w:lvlText w:val=""/>
      <w:lvlJc w:val="left"/>
      <w:pPr>
        <w:tabs>
          <w:tab w:val="num" w:pos="0"/>
        </w:tabs>
        <w:ind w:left="0" w:firstLine="0"/>
      </w:pPr>
      <w:rPr>
        <w:rFonts w:ascii="Wingdings" w:hAnsi="Wingdings" w:cs="Wingdings" w:hint="default"/>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5">
    <w:nsid w:val="00000006"/>
    <w:multiLevelType w:val="multilevel"/>
    <w:tmpl w:val="00000006"/>
    <w:name w:val="WW8Num11"/>
    <w:lvl w:ilvl="0">
      <w:start w:val="1"/>
      <w:numFmt w:val="bullet"/>
      <w:lvlText w:val=""/>
      <w:lvlJc w:val="left"/>
      <w:pPr>
        <w:tabs>
          <w:tab w:val="num" w:pos="720"/>
        </w:tabs>
        <w:ind w:left="0" w:firstLine="0"/>
      </w:pPr>
      <w:rPr>
        <w:rFonts w:ascii="Wingdings" w:hAnsi="Wingdings" w:cs="Wingdings" w:hint="default"/>
      </w:rPr>
    </w:lvl>
    <w:lvl w:ilvl="1">
      <w:numFmt w:val="decimal"/>
      <w:lvlText w:val="%2"/>
      <w:lvlJc w:val="left"/>
      <w:pPr>
        <w:tabs>
          <w:tab w:val="num" w:pos="72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6">
    <w:nsid w:val="00000007"/>
    <w:multiLevelType w:val="multilevel"/>
    <w:tmpl w:val="00000007"/>
    <w:name w:val="WW8Num13"/>
    <w:lvl w:ilvl="0">
      <w:start w:val="1"/>
      <w:numFmt w:val="lowerLetter"/>
      <w:lvlText w:val="%1)"/>
      <w:lvlJc w:val="left"/>
      <w:pPr>
        <w:tabs>
          <w:tab w:val="num" w:pos="0"/>
        </w:tabs>
        <w:ind w:left="0" w:firstLine="0"/>
      </w:pPr>
      <w:rPr>
        <w:rFonts w:ascii="Times New Roman" w:eastAsia="Times New Roman" w:hAnsi="Times New Roman" w:cs="Times New Roman"/>
        <w:sz w:val="22"/>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7">
    <w:nsid w:val="00000008"/>
    <w:multiLevelType w:val="multilevel"/>
    <w:tmpl w:val="00000008"/>
    <w:name w:val="WW8Num15"/>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8">
    <w:nsid w:val="00000009"/>
    <w:multiLevelType w:val="singleLevel"/>
    <w:tmpl w:val="00000009"/>
    <w:name w:val="WW8Num20"/>
    <w:lvl w:ilvl="0">
      <w:start w:val="1"/>
      <w:numFmt w:val="bullet"/>
      <w:lvlText w:val="-"/>
      <w:lvlJc w:val="left"/>
      <w:pPr>
        <w:tabs>
          <w:tab w:val="num" w:pos="0"/>
        </w:tabs>
        <w:ind w:left="720" w:hanging="360"/>
      </w:pPr>
      <w:rPr>
        <w:rFonts w:ascii="Liberation Serif" w:hAnsi="Liberation Serif" w:cs="Tahoma"/>
        <w:sz w:val="20"/>
        <w:szCs w:val="20"/>
      </w:rPr>
    </w:lvl>
  </w:abstractNum>
  <w:abstractNum w:abstractNumId="9">
    <w:nsid w:val="0000000A"/>
    <w:multiLevelType w:val="multilevel"/>
    <w:tmpl w:val="0000000A"/>
    <w:name w:val="WW8Num24"/>
    <w:lvl w:ilvl="0">
      <w:start w:val="1"/>
      <w:numFmt w:val="bullet"/>
      <w:lvlText w:val="-"/>
      <w:lvlJc w:val="left"/>
      <w:pPr>
        <w:tabs>
          <w:tab w:val="num" w:pos="0"/>
        </w:tabs>
        <w:ind w:left="0" w:firstLine="0"/>
      </w:pPr>
      <w:rPr>
        <w:rFonts w:ascii="Liberation Serif" w:hAnsi="Liberation Serif" w:cs="Times New Roman" w:hint="default"/>
        <w:sz w:val="22"/>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0">
    <w:nsid w:val="0000000B"/>
    <w:multiLevelType w:val="multilevel"/>
    <w:tmpl w:val="0000000B"/>
    <w:name w:val="WW8Num25"/>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1">
    <w:nsid w:val="0000000C"/>
    <w:multiLevelType w:val="multilevel"/>
    <w:tmpl w:val="0000000C"/>
    <w:name w:val="WW8Num27"/>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2">
    <w:nsid w:val="0000000D"/>
    <w:multiLevelType w:val="multilevel"/>
    <w:tmpl w:val="0000000D"/>
    <w:name w:val="WW8Num28"/>
    <w:lvl w:ilvl="0">
      <w:start w:val="2"/>
      <w:numFmt w:val="lowerLetter"/>
      <w:lvlText w:val="%1)"/>
      <w:lvlJc w:val="left"/>
      <w:pPr>
        <w:tabs>
          <w:tab w:val="num" w:pos="0"/>
        </w:tabs>
        <w:ind w:left="0" w:firstLine="0"/>
      </w:pPr>
      <w:rPr>
        <w:rFonts w:ascii="Times New Roman" w:eastAsia="Times New Roman" w:hAnsi="Times New Roman" w:cs="Times New Roman"/>
        <w:sz w:val="22"/>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3">
    <w:nsid w:val="0000000E"/>
    <w:multiLevelType w:val="multilevel"/>
    <w:tmpl w:val="0000000E"/>
    <w:name w:val="WW8Num29"/>
    <w:lvl w:ilvl="0">
      <w:start w:val="1"/>
      <w:numFmt w:val="bullet"/>
      <w:lvlText w:val="-"/>
      <w:lvlJc w:val="left"/>
      <w:pPr>
        <w:tabs>
          <w:tab w:val="num" w:pos="0"/>
        </w:tabs>
        <w:ind w:left="720" w:hanging="360"/>
      </w:pPr>
      <w:rPr>
        <w:rFonts w:ascii="Tahoma" w:hAnsi="Tahoma" w:cs="Tahoma"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nsid w:val="0000000F"/>
    <w:multiLevelType w:val="multilevel"/>
    <w:tmpl w:val="0000000F"/>
    <w:name w:val="WW8Num3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5">
    <w:nsid w:val="00000010"/>
    <w:multiLevelType w:val="multilevel"/>
    <w:tmpl w:val="00000010"/>
    <w:name w:val="WW8Num36"/>
    <w:lvl w:ilvl="0">
      <w:start w:val="1"/>
      <w:numFmt w:val="decimal"/>
      <w:lvlText w:val="%1."/>
      <w:lvlJc w:val="left"/>
      <w:pPr>
        <w:tabs>
          <w:tab w:val="num" w:pos="0"/>
        </w:tabs>
        <w:ind w:left="360" w:hanging="360"/>
      </w:p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6">
    <w:nsid w:val="00000011"/>
    <w:multiLevelType w:val="multilevel"/>
    <w:tmpl w:val="00000011"/>
    <w:name w:val="WW8Num3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nsid w:val="00000012"/>
    <w:multiLevelType w:val="multilevel"/>
    <w:tmpl w:val="00000012"/>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w:hAnsi="Wingdings"/>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w:hAnsi="Wingdings"/>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w:hAnsi="Wingdings"/>
      </w:rPr>
    </w:lvl>
    <w:lvl w:ilvl="8">
      <w:start w:val="1"/>
      <w:numFmt w:val="bullet"/>
      <w:lvlText w:val=""/>
      <w:lvlJc w:val="left"/>
      <w:pPr>
        <w:tabs>
          <w:tab w:val="num" w:pos="3600"/>
        </w:tabs>
        <w:ind w:left="3600" w:hanging="360"/>
      </w:pPr>
      <w:rPr>
        <w:rFonts w:ascii="Wingdings" w:hAnsi="Wingdings"/>
      </w:rPr>
    </w:lvl>
  </w:abstractNum>
  <w:abstractNum w:abstractNumId="18">
    <w:nsid w:val="0C276AF9"/>
    <w:multiLevelType w:val="hybridMultilevel"/>
    <w:tmpl w:val="3EE2BA62"/>
    <w:lvl w:ilvl="0" w:tplc="00000002">
      <w:start w:val="1"/>
      <w:numFmt w:val="lowerLetter"/>
      <w:lvlText w:val="%1)"/>
      <w:lvlJc w:val="left"/>
      <w:pPr>
        <w:ind w:left="604" w:hanging="360"/>
      </w:pPr>
    </w:lvl>
    <w:lvl w:ilvl="1" w:tplc="04100019" w:tentative="1">
      <w:start w:val="1"/>
      <w:numFmt w:val="lowerLetter"/>
      <w:lvlText w:val="%2."/>
      <w:lvlJc w:val="left"/>
      <w:pPr>
        <w:ind w:left="1324" w:hanging="360"/>
      </w:pPr>
    </w:lvl>
    <w:lvl w:ilvl="2" w:tplc="0410001B" w:tentative="1">
      <w:start w:val="1"/>
      <w:numFmt w:val="lowerRoman"/>
      <w:lvlText w:val="%3."/>
      <w:lvlJc w:val="right"/>
      <w:pPr>
        <w:ind w:left="2044" w:hanging="180"/>
      </w:pPr>
    </w:lvl>
    <w:lvl w:ilvl="3" w:tplc="0410000F" w:tentative="1">
      <w:start w:val="1"/>
      <w:numFmt w:val="decimal"/>
      <w:lvlText w:val="%4."/>
      <w:lvlJc w:val="left"/>
      <w:pPr>
        <w:ind w:left="2764" w:hanging="360"/>
      </w:pPr>
    </w:lvl>
    <w:lvl w:ilvl="4" w:tplc="04100019" w:tentative="1">
      <w:start w:val="1"/>
      <w:numFmt w:val="lowerLetter"/>
      <w:lvlText w:val="%5."/>
      <w:lvlJc w:val="left"/>
      <w:pPr>
        <w:ind w:left="3484" w:hanging="360"/>
      </w:pPr>
    </w:lvl>
    <w:lvl w:ilvl="5" w:tplc="0410001B" w:tentative="1">
      <w:start w:val="1"/>
      <w:numFmt w:val="lowerRoman"/>
      <w:lvlText w:val="%6."/>
      <w:lvlJc w:val="right"/>
      <w:pPr>
        <w:ind w:left="4204" w:hanging="180"/>
      </w:pPr>
    </w:lvl>
    <w:lvl w:ilvl="6" w:tplc="0410000F" w:tentative="1">
      <w:start w:val="1"/>
      <w:numFmt w:val="decimal"/>
      <w:lvlText w:val="%7."/>
      <w:lvlJc w:val="left"/>
      <w:pPr>
        <w:ind w:left="4924" w:hanging="360"/>
      </w:pPr>
    </w:lvl>
    <w:lvl w:ilvl="7" w:tplc="04100019" w:tentative="1">
      <w:start w:val="1"/>
      <w:numFmt w:val="lowerLetter"/>
      <w:lvlText w:val="%8."/>
      <w:lvlJc w:val="left"/>
      <w:pPr>
        <w:ind w:left="5644" w:hanging="360"/>
      </w:pPr>
    </w:lvl>
    <w:lvl w:ilvl="8" w:tplc="0410001B" w:tentative="1">
      <w:start w:val="1"/>
      <w:numFmt w:val="lowerRoman"/>
      <w:lvlText w:val="%9."/>
      <w:lvlJc w:val="right"/>
      <w:pPr>
        <w:ind w:left="6364"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isplayBackgroundShape/>
  <w:embedSystemFonts/>
  <w:stylePaneFormatFilter w:val="0000"/>
  <w:defaultTabStop w:val="720"/>
  <w:hyphenationZone w:val="283"/>
  <w:defaultTableStyle w:val="Normale"/>
  <w:drawingGridHorizontalSpacing w:val="209"/>
  <w:drawingGridVerticalSpacing w:val="0"/>
  <w:displayHorizontalDrawingGridEvery w:val="0"/>
  <w:displayVerticalDrawingGridEvery w:val="0"/>
  <w:characterSpacingControl w:val="doNotCompress"/>
  <w:hdrShapeDefaults>
    <o:shapedefaults v:ext="edit" spidmax="12290"/>
  </w:hdrShapeDefaults>
  <w:footnotePr>
    <w:footnote w:id="0"/>
    <w:footnote w:id="1"/>
  </w:footnotePr>
  <w:endnotePr>
    <w:endnote w:id="0"/>
    <w:endnote w:id="1"/>
  </w:endnotePr>
  <w:compat/>
  <w:rsids>
    <w:rsidRoot w:val="001C141F"/>
    <w:rsid w:val="000536AB"/>
    <w:rsid w:val="000E0A04"/>
    <w:rsid w:val="000E27E0"/>
    <w:rsid w:val="001804B1"/>
    <w:rsid w:val="001C141F"/>
    <w:rsid w:val="001C4B26"/>
    <w:rsid w:val="001C649A"/>
    <w:rsid w:val="001D185F"/>
    <w:rsid w:val="002110C0"/>
    <w:rsid w:val="00221AD9"/>
    <w:rsid w:val="00234090"/>
    <w:rsid w:val="00237E5F"/>
    <w:rsid w:val="002657AA"/>
    <w:rsid w:val="002B45B5"/>
    <w:rsid w:val="002F5295"/>
    <w:rsid w:val="0031242D"/>
    <w:rsid w:val="00367C3F"/>
    <w:rsid w:val="00370D83"/>
    <w:rsid w:val="003A2FF1"/>
    <w:rsid w:val="003B07DC"/>
    <w:rsid w:val="003D19AB"/>
    <w:rsid w:val="00404455"/>
    <w:rsid w:val="00411CF2"/>
    <w:rsid w:val="00452379"/>
    <w:rsid w:val="004D53B8"/>
    <w:rsid w:val="0050101B"/>
    <w:rsid w:val="00524EE2"/>
    <w:rsid w:val="005414F7"/>
    <w:rsid w:val="00542059"/>
    <w:rsid w:val="005C7A4D"/>
    <w:rsid w:val="00623FE6"/>
    <w:rsid w:val="0066063A"/>
    <w:rsid w:val="006626A0"/>
    <w:rsid w:val="00684812"/>
    <w:rsid w:val="006B51F1"/>
    <w:rsid w:val="006E1206"/>
    <w:rsid w:val="006F0D25"/>
    <w:rsid w:val="0072719D"/>
    <w:rsid w:val="0073531B"/>
    <w:rsid w:val="007373F1"/>
    <w:rsid w:val="007938E9"/>
    <w:rsid w:val="007F38FC"/>
    <w:rsid w:val="007F3BB1"/>
    <w:rsid w:val="00813BAF"/>
    <w:rsid w:val="008D64FB"/>
    <w:rsid w:val="008F52A0"/>
    <w:rsid w:val="00933CE0"/>
    <w:rsid w:val="00956F43"/>
    <w:rsid w:val="009C0977"/>
    <w:rsid w:val="009D6487"/>
    <w:rsid w:val="00A170DF"/>
    <w:rsid w:val="00A36A14"/>
    <w:rsid w:val="00A46083"/>
    <w:rsid w:val="00A9695F"/>
    <w:rsid w:val="00AA4320"/>
    <w:rsid w:val="00AC1D2B"/>
    <w:rsid w:val="00B4470B"/>
    <w:rsid w:val="00B84974"/>
    <w:rsid w:val="00BA074A"/>
    <w:rsid w:val="00BD5547"/>
    <w:rsid w:val="00C32D5C"/>
    <w:rsid w:val="00C35B46"/>
    <w:rsid w:val="00C447A2"/>
    <w:rsid w:val="00CC7B4D"/>
    <w:rsid w:val="00CD172E"/>
    <w:rsid w:val="00CE097B"/>
    <w:rsid w:val="00CF662F"/>
    <w:rsid w:val="00D00534"/>
    <w:rsid w:val="00D87200"/>
    <w:rsid w:val="00DD5FDF"/>
    <w:rsid w:val="00E00CB0"/>
    <w:rsid w:val="00E17C41"/>
    <w:rsid w:val="00EA3C3F"/>
    <w:rsid w:val="00F0440E"/>
    <w:rsid w:val="00FA2C0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46083"/>
    <w:pPr>
      <w:suppressAutoHyphens/>
      <w:spacing w:after="200" w:line="276" w:lineRule="auto"/>
    </w:pPr>
    <w:rPr>
      <w:rFonts w:ascii="Calibri" w:eastAsia="Calibri" w:hAnsi="Calibri"/>
      <w:sz w:val="22"/>
      <w:szCs w:val="22"/>
      <w:lang w:eastAsia="zh-CN"/>
    </w:rPr>
  </w:style>
  <w:style w:type="paragraph" w:styleId="Titolo1">
    <w:name w:val="heading 1"/>
    <w:basedOn w:val="Normale"/>
    <w:next w:val="Normale"/>
    <w:qFormat/>
    <w:rsid w:val="0072719D"/>
    <w:pPr>
      <w:keepNext/>
      <w:keepLines/>
      <w:tabs>
        <w:tab w:val="num" w:pos="0"/>
      </w:tabs>
      <w:spacing w:before="480" w:after="0"/>
      <w:outlineLvl w:val="0"/>
    </w:pPr>
    <w:rPr>
      <w:rFonts w:ascii="Cambria" w:eastAsia="Times New Roman" w:hAnsi="Cambria"/>
      <w:b/>
      <w:bCs/>
      <w:color w:val="365F91"/>
      <w:sz w:val="28"/>
      <w:szCs w:val="28"/>
    </w:rPr>
  </w:style>
  <w:style w:type="paragraph" w:styleId="Titolo2">
    <w:name w:val="heading 2"/>
    <w:basedOn w:val="Normale"/>
    <w:next w:val="Normale"/>
    <w:qFormat/>
    <w:rsid w:val="0072719D"/>
    <w:pPr>
      <w:keepNext/>
      <w:keepLines/>
      <w:tabs>
        <w:tab w:val="num" w:pos="0"/>
      </w:tabs>
      <w:spacing w:before="200" w:after="0"/>
      <w:outlineLvl w:val="1"/>
    </w:pPr>
    <w:rPr>
      <w:rFonts w:ascii="Cambria" w:eastAsia="Times New Roman" w:hAnsi="Cambria"/>
      <w:b/>
      <w:bCs/>
      <w:color w:val="4F81BD"/>
      <w:sz w:val="26"/>
      <w:szCs w:val="26"/>
    </w:rPr>
  </w:style>
  <w:style w:type="paragraph" w:styleId="Titolo3">
    <w:name w:val="heading 3"/>
    <w:basedOn w:val="Normale"/>
    <w:next w:val="Normale"/>
    <w:qFormat/>
    <w:rsid w:val="0072719D"/>
    <w:pPr>
      <w:keepNext/>
      <w:keepLines/>
      <w:tabs>
        <w:tab w:val="num" w:pos="0"/>
      </w:tabs>
      <w:spacing w:before="200" w:after="0"/>
      <w:outlineLvl w:val="2"/>
    </w:pPr>
    <w:rPr>
      <w:rFonts w:ascii="Cambria" w:eastAsia="Times New Roman" w:hAnsi="Cambria"/>
      <w:b/>
      <w:bCs/>
      <w:color w:val="4F81BD"/>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72719D"/>
  </w:style>
  <w:style w:type="character" w:customStyle="1" w:styleId="WW8Num1z1">
    <w:name w:val="WW8Num1z1"/>
    <w:rsid w:val="0072719D"/>
  </w:style>
  <w:style w:type="character" w:customStyle="1" w:styleId="WW8Num1z2">
    <w:name w:val="WW8Num1z2"/>
    <w:rsid w:val="0072719D"/>
  </w:style>
  <w:style w:type="character" w:customStyle="1" w:styleId="WW8Num1z3">
    <w:name w:val="WW8Num1z3"/>
    <w:rsid w:val="0072719D"/>
  </w:style>
  <w:style w:type="character" w:customStyle="1" w:styleId="WW8Num1z4">
    <w:name w:val="WW8Num1z4"/>
    <w:rsid w:val="0072719D"/>
  </w:style>
  <w:style w:type="character" w:customStyle="1" w:styleId="WW8Num1z5">
    <w:name w:val="WW8Num1z5"/>
    <w:rsid w:val="0072719D"/>
  </w:style>
  <w:style w:type="character" w:customStyle="1" w:styleId="WW8Num1z6">
    <w:name w:val="WW8Num1z6"/>
    <w:rsid w:val="0072719D"/>
  </w:style>
  <w:style w:type="character" w:customStyle="1" w:styleId="WW8Num1z7">
    <w:name w:val="WW8Num1z7"/>
    <w:rsid w:val="0072719D"/>
  </w:style>
  <w:style w:type="character" w:customStyle="1" w:styleId="WW8Num1z8">
    <w:name w:val="WW8Num1z8"/>
    <w:rsid w:val="0072719D"/>
  </w:style>
  <w:style w:type="character" w:customStyle="1" w:styleId="WW8Num2z0">
    <w:name w:val="WW8Num2z0"/>
    <w:rsid w:val="0072719D"/>
  </w:style>
  <w:style w:type="character" w:customStyle="1" w:styleId="WW8Num2z1">
    <w:name w:val="WW8Num2z1"/>
    <w:rsid w:val="0072719D"/>
  </w:style>
  <w:style w:type="character" w:customStyle="1" w:styleId="WW8Num2z2">
    <w:name w:val="WW8Num2z2"/>
    <w:rsid w:val="0072719D"/>
  </w:style>
  <w:style w:type="character" w:customStyle="1" w:styleId="WW8Num2z3">
    <w:name w:val="WW8Num2z3"/>
    <w:rsid w:val="0072719D"/>
  </w:style>
  <w:style w:type="character" w:customStyle="1" w:styleId="WW8Num2z4">
    <w:name w:val="WW8Num2z4"/>
    <w:rsid w:val="0072719D"/>
  </w:style>
  <w:style w:type="character" w:customStyle="1" w:styleId="WW8Num2z5">
    <w:name w:val="WW8Num2z5"/>
    <w:rsid w:val="0072719D"/>
  </w:style>
  <w:style w:type="character" w:customStyle="1" w:styleId="WW8Num2z6">
    <w:name w:val="WW8Num2z6"/>
    <w:rsid w:val="0072719D"/>
  </w:style>
  <w:style w:type="character" w:customStyle="1" w:styleId="WW8Num2z7">
    <w:name w:val="WW8Num2z7"/>
    <w:rsid w:val="0072719D"/>
  </w:style>
  <w:style w:type="character" w:customStyle="1" w:styleId="WW8Num2z8">
    <w:name w:val="WW8Num2z8"/>
    <w:rsid w:val="0072719D"/>
  </w:style>
  <w:style w:type="character" w:customStyle="1" w:styleId="WW8Num3z0">
    <w:name w:val="WW8Num3z0"/>
    <w:rsid w:val="0072719D"/>
  </w:style>
  <w:style w:type="character" w:customStyle="1" w:styleId="WW8Num3z1">
    <w:name w:val="WW8Num3z1"/>
    <w:rsid w:val="0072719D"/>
  </w:style>
  <w:style w:type="character" w:customStyle="1" w:styleId="WW8Num3z2">
    <w:name w:val="WW8Num3z2"/>
    <w:rsid w:val="0072719D"/>
  </w:style>
  <w:style w:type="character" w:customStyle="1" w:styleId="WW8Num3z3">
    <w:name w:val="WW8Num3z3"/>
    <w:rsid w:val="0072719D"/>
  </w:style>
  <w:style w:type="character" w:customStyle="1" w:styleId="WW8Num3z4">
    <w:name w:val="WW8Num3z4"/>
    <w:rsid w:val="0072719D"/>
  </w:style>
  <w:style w:type="character" w:customStyle="1" w:styleId="WW8Num3z5">
    <w:name w:val="WW8Num3z5"/>
    <w:rsid w:val="0072719D"/>
  </w:style>
  <w:style w:type="character" w:customStyle="1" w:styleId="WW8Num3z6">
    <w:name w:val="WW8Num3z6"/>
    <w:rsid w:val="0072719D"/>
  </w:style>
  <w:style w:type="character" w:customStyle="1" w:styleId="WW8Num3z7">
    <w:name w:val="WW8Num3z7"/>
    <w:rsid w:val="0072719D"/>
  </w:style>
  <w:style w:type="character" w:customStyle="1" w:styleId="WW8Num3z8">
    <w:name w:val="WW8Num3z8"/>
    <w:rsid w:val="0072719D"/>
  </w:style>
  <w:style w:type="character" w:customStyle="1" w:styleId="WW8Num4z0">
    <w:name w:val="WW8Num4z0"/>
    <w:rsid w:val="0072719D"/>
    <w:rPr>
      <w:rFonts w:ascii="Tahoma" w:eastAsia="Times New Roman" w:hAnsi="Tahoma" w:cs="Tahoma"/>
      <w:sz w:val="20"/>
      <w:szCs w:val="20"/>
    </w:rPr>
  </w:style>
  <w:style w:type="character" w:customStyle="1" w:styleId="WW8Num4z1">
    <w:name w:val="WW8Num4z1"/>
    <w:rsid w:val="0072719D"/>
  </w:style>
  <w:style w:type="character" w:customStyle="1" w:styleId="WW8Num4z2">
    <w:name w:val="WW8Num4z2"/>
    <w:rsid w:val="0072719D"/>
  </w:style>
  <w:style w:type="character" w:customStyle="1" w:styleId="WW8Num4z3">
    <w:name w:val="WW8Num4z3"/>
    <w:rsid w:val="0072719D"/>
  </w:style>
  <w:style w:type="character" w:customStyle="1" w:styleId="WW8Num4z4">
    <w:name w:val="WW8Num4z4"/>
    <w:rsid w:val="0072719D"/>
  </w:style>
  <w:style w:type="character" w:customStyle="1" w:styleId="WW8Num4z5">
    <w:name w:val="WW8Num4z5"/>
    <w:rsid w:val="0072719D"/>
  </w:style>
  <w:style w:type="character" w:customStyle="1" w:styleId="WW8Num4z6">
    <w:name w:val="WW8Num4z6"/>
    <w:rsid w:val="0072719D"/>
  </w:style>
  <w:style w:type="character" w:customStyle="1" w:styleId="WW8Num4z7">
    <w:name w:val="WW8Num4z7"/>
    <w:rsid w:val="0072719D"/>
  </w:style>
  <w:style w:type="character" w:customStyle="1" w:styleId="WW8Num4z8">
    <w:name w:val="WW8Num4z8"/>
    <w:rsid w:val="0072719D"/>
  </w:style>
  <w:style w:type="character" w:customStyle="1" w:styleId="WW8Num5z0">
    <w:name w:val="WW8Num5z0"/>
    <w:rsid w:val="0072719D"/>
    <w:rPr>
      <w:rFonts w:ascii="Tahoma" w:eastAsia="Times New Roman" w:hAnsi="Tahoma" w:cs="Tahoma"/>
      <w:sz w:val="20"/>
      <w:szCs w:val="20"/>
    </w:rPr>
  </w:style>
  <w:style w:type="character" w:customStyle="1" w:styleId="WW8Num5z1">
    <w:name w:val="WW8Num5z1"/>
    <w:rsid w:val="0072719D"/>
  </w:style>
  <w:style w:type="character" w:customStyle="1" w:styleId="WW8Num5z2">
    <w:name w:val="WW8Num5z2"/>
    <w:rsid w:val="0072719D"/>
  </w:style>
  <w:style w:type="character" w:customStyle="1" w:styleId="WW8Num5z3">
    <w:name w:val="WW8Num5z3"/>
    <w:rsid w:val="0072719D"/>
  </w:style>
  <w:style w:type="character" w:customStyle="1" w:styleId="WW8Num5z4">
    <w:name w:val="WW8Num5z4"/>
    <w:rsid w:val="0072719D"/>
  </w:style>
  <w:style w:type="character" w:customStyle="1" w:styleId="WW8Num5z5">
    <w:name w:val="WW8Num5z5"/>
    <w:rsid w:val="0072719D"/>
  </w:style>
  <w:style w:type="character" w:customStyle="1" w:styleId="WW8Num5z6">
    <w:name w:val="WW8Num5z6"/>
    <w:rsid w:val="0072719D"/>
  </w:style>
  <w:style w:type="character" w:customStyle="1" w:styleId="WW8Num5z7">
    <w:name w:val="WW8Num5z7"/>
    <w:rsid w:val="0072719D"/>
  </w:style>
  <w:style w:type="character" w:customStyle="1" w:styleId="WW8Num5z8">
    <w:name w:val="WW8Num5z8"/>
    <w:rsid w:val="0072719D"/>
  </w:style>
  <w:style w:type="character" w:customStyle="1" w:styleId="WW8Num6z0">
    <w:name w:val="WW8Num6z0"/>
    <w:rsid w:val="0072719D"/>
  </w:style>
  <w:style w:type="character" w:customStyle="1" w:styleId="WW8Num6z1">
    <w:name w:val="WW8Num6z1"/>
    <w:rsid w:val="0072719D"/>
  </w:style>
  <w:style w:type="character" w:customStyle="1" w:styleId="WW8Num6z2">
    <w:name w:val="WW8Num6z2"/>
    <w:rsid w:val="0072719D"/>
  </w:style>
  <w:style w:type="character" w:customStyle="1" w:styleId="WW8Num6z3">
    <w:name w:val="WW8Num6z3"/>
    <w:rsid w:val="0072719D"/>
  </w:style>
  <w:style w:type="character" w:customStyle="1" w:styleId="WW8Num6z4">
    <w:name w:val="WW8Num6z4"/>
    <w:rsid w:val="0072719D"/>
  </w:style>
  <w:style w:type="character" w:customStyle="1" w:styleId="WW8Num6z5">
    <w:name w:val="WW8Num6z5"/>
    <w:rsid w:val="0072719D"/>
  </w:style>
  <w:style w:type="character" w:customStyle="1" w:styleId="WW8Num6z6">
    <w:name w:val="WW8Num6z6"/>
    <w:rsid w:val="0072719D"/>
  </w:style>
  <w:style w:type="character" w:customStyle="1" w:styleId="WW8Num6z7">
    <w:name w:val="WW8Num6z7"/>
    <w:rsid w:val="0072719D"/>
  </w:style>
  <w:style w:type="character" w:customStyle="1" w:styleId="WW8Num6z8">
    <w:name w:val="WW8Num6z8"/>
    <w:rsid w:val="0072719D"/>
  </w:style>
  <w:style w:type="character" w:customStyle="1" w:styleId="WW8Num7z0">
    <w:name w:val="WW8Num7z0"/>
    <w:rsid w:val="0072719D"/>
  </w:style>
  <w:style w:type="character" w:customStyle="1" w:styleId="WW8Num7z1">
    <w:name w:val="WW8Num7z1"/>
    <w:rsid w:val="0072719D"/>
  </w:style>
  <w:style w:type="character" w:customStyle="1" w:styleId="WW8Num7z2">
    <w:name w:val="WW8Num7z2"/>
    <w:rsid w:val="0072719D"/>
  </w:style>
  <w:style w:type="character" w:customStyle="1" w:styleId="WW8Num7z3">
    <w:name w:val="WW8Num7z3"/>
    <w:rsid w:val="0072719D"/>
  </w:style>
  <w:style w:type="character" w:customStyle="1" w:styleId="WW8Num7z4">
    <w:name w:val="WW8Num7z4"/>
    <w:rsid w:val="0072719D"/>
  </w:style>
  <w:style w:type="character" w:customStyle="1" w:styleId="WW8Num7z5">
    <w:name w:val="WW8Num7z5"/>
    <w:rsid w:val="0072719D"/>
  </w:style>
  <w:style w:type="character" w:customStyle="1" w:styleId="WW8Num7z6">
    <w:name w:val="WW8Num7z6"/>
    <w:rsid w:val="0072719D"/>
  </w:style>
  <w:style w:type="character" w:customStyle="1" w:styleId="WW8Num7z7">
    <w:name w:val="WW8Num7z7"/>
    <w:rsid w:val="0072719D"/>
  </w:style>
  <w:style w:type="character" w:customStyle="1" w:styleId="WW8Num7z8">
    <w:name w:val="WW8Num7z8"/>
    <w:rsid w:val="0072719D"/>
  </w:style>
  <w:style w:type="character" w:customStyle="1" w:styleId="WW8Num8z0">
    <w:name w:val="WW8Num8z0"/>
    <w:rsid w:val="0072719D"/>
  </w:style>
  <w:style w:type="character" w:customStyle="1" w:styleId="WW8Num8z1">
    <w:name w:val="WW8Num8z1"/>
    <w:rsid w:val="0072719D"/>
  </w:style>
  <w:style w:type="character" w:customStyle="1" w:styleId="WW8Num8z2">
    <w:name w:val="WW8Num8z2"/>
    <w:rsid w:val="0072719D"/>
  </w:style>
  <w:style w:type="character" w:customStyle="1" w:styleId="WW8Num8z3">
    <w:name w:val="WW8Num8z3"/>
    <w:rsid w:val="0072719D"/>
  </w:style>
  <w:style w:type="character" w:customStyle="1" w:styleId="WW8Num8z4">
    <w:name w:val="WW8Num8z4"/>
    <w:rsid w:val="0072719D"/>
  </w:style>
  <w:style w:type="character" w:customStyle="1" w:styleId="WW8Num8z5">
    <w:name w:val="WW8Num8z5"/>
    <w:rsid w:val="0072719D"/>
  </w:style>
  <w:style w:type="character" w:customStyle="1" w:styleId="WW8Num8z6">
    <w:name w:val="WW8Num8z6"/>
    <w:rsid w:val="0072719D"/>
  </w:style>
  <w:style w:type="character" w:customStyle="1" w:styleId="WW8Num8z7">
    <w:name w:val="WW8Num8z7"/>
    <w:rsid w:val="0072719D"/>
  </w:style>
  <w:style w:type="character" w:customStyle="1" w:styleId="WW8Num8z8">
    <w:name w:val="WW8Num8z8"/>
    <w:rsid w:val="0072719D"/>
  </w:style>
  <w:style w:type="character" w:customStyle="1" w:styleId="WW8Num9z0">
    <w:name w:val="WW8Num9z0"/>
    <w:rsid w:val="0072719D"/>
  </w:style>
  <w:style w:type="character" w:customStyle="1" w:styleId="WW8Num9z1">
    <w:name w:val="WW8Num9z1"/>
    <w:rsid w:val="0072719D"/>
  </w:style>
  <w:style w:type="character" w:customStyle="1" w:styleId="WW8Num9z2">
    <w:name w:val="WW8Num9z2"/>
    <w:rsid w:val="0072719D"/>
  </w:style>
  <w:style w:type="character" w:customStyle="1" w:styleId="WW8Num9z3">
    <w:name w:val="WW8Num9z3"/>
    <w:rsid w:val="0072719D"/>
  </w:style>
  <w:style w:type="character" w:customStyle="1" w:styleId="WW8Num9z4">
    <w:name w:val="WW8Num9z4"/>
    <w:rsid w:val="0072719D"/>
  </w:style>
  <w:style w:type="character" w:customStyle="1" w:styleId="WW8Num9z5">
    <w:name w:val="WW8Num9z5"/>
    <w:rsid w:val="0072719D"/>
  </w:style>
  <w:style w:type="character" w:customStyle="1" w:styleId="WW8Num9z6">
    <w:name w:val="WW8Num9z6"/>
    <w:rsid w:val="0072719D"/>
  </w:style>
  <w:style w:type="character" w:customStyle="1" w:styleId="WW8Num9z7">
    <w:name w:val="WW8Num9z7"/>
    <w:rsid w:val="0072719D"/>
  </w:style>
  <w:style w:type="character" w:customStyle="1" w:styleId="WW8Num9z8">
    <w:name w:val="WW8Num9z8"/>
    <w:rsid w:val="0072719D"/>
  </w:style>
  <w:style w:type="character" w:customStyle="1" w:styleId="WW8Num10z0">
    <w:name w:val="WW8Num10z0"/>
    <w:rsid w:val="0072719D"/>
    <w:rPr>
      <w:rFonts w:ascii="Wingdings" w:hAnsi="Wingdings" w:cs="Wingdings" w:hint="default"/>
    </w:rPr>
  </w:style>
  <w:style w:type="character" w:customStyle="1" w:styleId="WW8Num10z1">
    <w:name w:val="WW8Num10z1"/>
    <w:rsid w:val="0072719D"/>
  </w:style>
  <w:style w:type="character" w:customStyle="1" w:styleId="WW8Num10z2">
    <w:name w:val="WW8Num10z2"/>
    <w:rsid w:val="0072719D"/>
  </w:style>
  <w:style w:type="character" w:customStyle="1" w:styleId="WW8Num10z3">
    <w:name w:val="WW8Num10z3"/>
    <w:rsid w:val="0072719D"/>
  </w:style>
  <w:style w:type="character" w:customStyle="1" w:styleId="WW8Num10z4">
    <w:name w:val="WW8Num10z4"/>
    <w:rsid w:val="0072719D"/>
  </w:style>
  <w:style w:type="character" w:customStyle="1" w:styleId="WW8Num10z5">
    <w:name w:val="WW8Num10z5"/>
    <w:rsid w:val="0072719D"/>
  </w:style>
  <w:style w:type="character" w:customStyle="1" w:styleId="WW8Num10z6">
    <w:name w:val="WW8Num10z6"/>
    <w:rsid w:val="0072719D"/>
  </w:style>
  <w:style w:type="character" w:customStyle="1" w:styleId="WW8Num10z7">
    <w:name w:val="WW8Num10z7"/>
    <w:rsid w:val="0072719D"/>
  </w:style>
  <w:style w:type="character" w:customStyle="1" w:styleId="WW8Num10z8">
    <w:name w:val="WW8Num10z8"/>
    <w:rsid w:val="0072719D"/>
  </w:style>
  <w:style w:type="character" w:customStyle="1" w:styleId="WW8Num11z0">
    <w:name w:val="WW8Num11z0"/>
    <w:rsid w:val="0072719D"/>
    <w:rPr>
      <w:rFonts w:ascii="Wingdings" w:hAnsi="Wingdings" w:cs="Wingdings" w:hint="default"/>
    </w:rPr>
  </w:style>
  <w:style w:type="character" w:customStyle="1" w:styleId="WW8Num11z1">
    <w:name w:val="WW8Num11z1"/>
    <w:rsid w:val="0072719D"/>
  </w:style>
  <w:style w:type="character" w:customStyle="1" w:styleId="WW8Num11z2">
    <w:name w:val="WW8Num11z2"/>
    <w:rsid w:val="0072719D"/>
  </w:style>
  <w:style w:type="character" w:customStyle="1" w:styleId="WW8Num11z3">
    <w:name w:val="WW8Num11z3"/>
    <w:rsid w:val="0072719D"/>
  </w:style>
  <w:style w:type="character" w:customStyle="1" w:styleId="WW8Num11z4">
    <w:name w:val="WW8Num11z4"/>
    <w:rsid w:val="0072719D"/>
  </w:style>
  <w:style w:type="character" w:customStyle="1" w:styleId="WW8Num11z5">
    <w:name w:val="WW8Num11z5"/>
    <w:rsid w:val="0072719D"/>
  </w:style>
  <w:style w:type="character" w:customStyle="1" w:styleId="WW8Num11z6">
    <w:name w:val="WW8Num11z6"/>
    <w:rsid w:val="0072719D"/>
  </w:style>
  <w:style w:type="character" w:customStyle="1" w:styleId="WW8Num11z7">
    <w:name w:val="WW8Num11z7"/>
    <w:rsid w:val="0072719D"/>
  </w:style>
  <w:style w:type="character" w:customStyle="1" w:styleId="WW8Num11z8">
    <w:name w:val="WW8Num11z8"/>
    <w:rsid w:val="0072719D"/>
  </w:style>
  <w:style w:type="character" w:customStyle="1" w:styleId="WW8Num12z0">
    <w:name w:val="WW8Num12z0"/>
    <w:rsid w:val="0072719D"/>
    <w:rPr>
      <w:rFonts w:hint="default"/>
    </w:rPr>
  </w:style>
  <w:style w:type="character" w:customStyle="1" w:styleId="WW8Num12z1">
    <w:name w:val="WW8Num12z1"/>
    <w:rsid w:val="0072719D"/>
  </w:style>
  <w:style w:type="character" w:customStyle="1" w:styleId="WW8Num12z2">
    <w:name w:val="WW8Num12z2"/>
    <w:rsid w:val="0072719D"/>
  </w:style>
  <w:style w:type="character" w:customStyle="1" w:styleId="WW8Num12z3">
    <w:name w:val="WW8Num12z3"/>
    <w:rsid w:val="0072719D"/>
  </w:style>
  <w:style w:type="character" w:customStyle="1" w:styleId="WW8Num12z4">
    <w:name w:val="WW8Num12z4"/>
    <w:rsid w:val="0072719D"/>
  </w:style>
  <w:style w:type="character" w:customStyle="1" w:styleId="WW8Num12z5">
    <w:name w:val="WW8Num12z5"/>
    <w:rsid w:val="0072719D"/>
  </w:style>
  <w:style w:type="character" w:customStyle="1" w:styleId="WW8Num12z6">
    <w:name w:val="WW8Num12z6"/>
    <w:rsid w:val="0072719D"/>
  </w:style>
  <w:style w:type="character" w:customStyle="1" w:styleId="WW8Num12z7">
    <w:name w:val="WW8Num12z7"/>
    <w:rsid w:val="0072719D"/>
  </w:style>
  <w:style w:type="character" w:customStyle="1" w:styleId="WW8Num12z8">
    <w:name w:val="WW8Num12z8"/>
    <w:rsid w:val="0072719D"/>
  </w:style>
  <w:style w:type="character" w:customStyle="1" w:styleId="WW8Num13z0">
    <w:name w:val="WW8Num13z0"/>
    <w:rsid w:val="0072719D"/>
    <w:rPr>
      <w:rFonts w:ascii="Times New Roman" w:eastAsia="Times New Roman" w:hAnsi="Times New Roman" w:cs="Times New Roman"/>
      <w:sz w:val="22"/>
    </w:rPr>
  </w:style>
  <w:style w:type="character" w:customStyle="1" w:styleId="WW8Num13z1">
    <w:name w:val="WW8Num13z1"/>
    <w:rsid w:val="0072719D"/>
  </w:style>
  <w:style w:type="character" w:customStyle="1" w:styleId="WW8Num13z2">
    <w:name w:val="WW8Num13z2"/>
    <w:rsid w:val="0072719D"/>
  </w:style>
  <w:style w:type="character" w:customStyle="1" w:styleId="WW8Num13z3">
    <w:name w:val="WW8Num13z3"/>
    <w:rsid w:val="0072719D"/>
  </w:style>
  <w:style w:type="character" w:customStyle="1" w:styleId="WW8Num13z4">
    <w:name w:val="WW8Num13z4"/>
    <w:rsid w:val="0072719D"/>
  </w:style>
  <w:style w:type="character" w:customStyle="1" w:styleId="WW8Num13z5">
    <w:name w:val="WW8Num13z5"/>
    <w:rsid w:val="0072719D"/>
  </w:style>
  <w:style w:type="character" w:customStyle="1" w:styleId="WW8Num13z6">
    <w:name w:val="WW8Num13z6"/>
    <w:rsid w:val="0072719D"/>
  </w:style>
  <w:style w:type="character" w:customStyle="1" w:styleId="WW8Num13z7">
    <w:name w:val="WW8Num13z7"/>
    <w:rsid w:val="0072719D"/>
  </w:style>
  <w:style w:type="character" w:customStyle="1" w:styleId="WW8Num13z8">
    <w:name w:val="WW8Num13z8"/>
    <w:rsid w:val="0072719D"/>
  </w:style>
  <w:style w:type="character" w:customStyle="1" w:styleId="WW8Num14z0">
    <w:name w:val="WW8Num14z0"/>
    <w:rsid w:val="0072719D"/>
    <w:rPr>
      <w:rFonts w:ascii="Tahoma" w:eastAsia="Times New Roman" w:hAnsi="Tahoma" w:cs="Tahoma" w:hint="default"/>
      <w:w w:val="102"/>
    </w:rPr>
  </w:style>
  <w:style w:type="character" w:customStyle="1" w:styleId="WW8Num14z1">
    <w:name w:val="WW8Num14z1"/>
    <w:rsid w:val="0072719D"/>
    <w:rPr>
      <w:rFonts w:ascii="Courier New" w:hAnsi="Courier New" w:cs="Courier New" w:hint="default"/>
    </w:rPr>
  </w:style>
  <w:style w:type="character" w:customStyle="1" w:styleId="WW8Num14z2">
    <w:name w:val="WW8Num14z2"/>
    <w:rsid w:val="0072719D"/>
    <w:rPr>
      <w:rFonts w:ascii="Wingdings" w:hAnsi="Wingdings" w:cs="Wingdings" w:hint="default"/>
    </w:rPr>
  </w:style>
  <w:style w:type="character" w:customStyle="1" w:styleId="WW8Num14z3">
    <w:name w:val="WW8Num14z3"/>
    <w:rsid w:val="0072719D"/>
    <w:rPr>
      <w:rFonts w:ascii="Symbol" w:hAnsi="Symbol" w:cs="Symbol" w:hint="default"/>
    </w:rPr>
  </w:style>
  <w:style w:type="character" w:customStyle="1" w:styleId="WW8Num15z0">
    <w:name w:val="WW8Num15z0"/>
    <w:rsid w:val="0072719D"/>
    <w:rPr>
      <w:rFonts w:ascii="Symbol" w:hAnsi="Symbol" w:cs="Symbol" w:hint="default"/>
    </w:rPr>
  </w:style>
  <w:style w:type="character" w:customStyle="1" w:styleId="WW8Num15z1">
    <w:name w:val="WW8Num15z1"/>
    <w:rsid w:val="0072719D"/>
    <w:rPr>
      <w:rFonts w:ascii="Courier New" w:hAnsi="Courier New" w:cs="Courier New" w:hint="default"/>
    </w:rPr>
  </w:style>
  <w:style w:type="character" w:customStyle="1" w:styleId="WW8Num15z2">
    <w:name w:val="WW8Num15z2"/>
    <w:rsid w:val="0072719D"/>
    <w:rPr>
      <w:rFonts w:ascii="Wingdings" w:hAnsi="Wingdings" w:cs="Wingdings" w:hint="default"/>
    </w:rPr>
  </w:style>
  <w:style w:type="character" w:customStyle="1" w:styleId="WW8Num16z0">
    <w:name w:val="WW8Num16z0"/>
    <w:rsid w:val="0072719D"/>
    <w:rPr>
      <w:rFonts w:ascii="Tahoma" w:eastAsia="Times New Roman" w:hAnsi="Tahoma" w:cs="Tahoma" w:hint="default"/>
      <w:w w:val="102"/>
    </w:rPr>
  </w:style>
  <w:style w:type="character" w:customStyle="1" w:styleId="WW8Num16z1">
    <w:name w:val="WW8Num16z1"/>
    <w:rsid w:val="0072719D"/>
    <w:rPr>
      <w:rFonts w:ascii="Courier New" w:hAnsi="Courier New" w:cs="Courier New" w:hint="default"/>
    </w:rPr>
  </w:style>
  <w:style w:type="character" w:customStyle="1" w:styleId="WW8Num16z2">
    <w:name w:val="WW8Num16z2"/>
    <w:rsid w:val="0072719D"/>
    <w:rPr>
      <w:rFonts w:ascii="Wingdings" w:hAnsi="Wingdings" w:cs="Wingdings" w:hint="default"/>
    </w:rPr>
  </w:style>
  <w:style w:type="character" w:customStyle="1" w:styleId="WW8Num16z3">
    <w:name w:val="WW8Num16z3"/>
    <w:rsid w:val="0072719D"/>
    <w:rPr>
      <w:rFonts w:ascii="Symbol" w:hAnsi="Symbol" w:cs="Symbol" w:hint="default"/>
    </w:rPr>
  </w:style>
  <w:style w:type="character" w:customStyle="1" w:styleId="WW8Num17z0">
    <w:name w:val="WW8Num17z0"/>
    <w:rsid w:val="0072719D"/>
    <w:rPr>
      <w:rFonts w:ascii="Tahoma" w:eastAsia="Calibri" w:hAnsi="Tahoma" w:cs="Tahoma" w:hint="default"/>
    </w:rPr>
  </w:style>
  <w:style w:type="character" w:customStyle="1" w:styleId="WW8Num17z1">
    <w:name w:val="WW8Num17z1"/>
    <w:rsid w:val="0072719D"/>
    <w:rPr>
      <w:rFonts w:ascii="Courier New" w:hAnsi="Courier New" w:cs="Courier New" w:hint="default"/>
    </w:rPr>
  </w:style>
  <w:style w:type="character" w:customStyle="1" w:styleId="WW8Num17z2">
    <w:name w:val="WW8Num17z2"/>
    <w:rsid w:val="0072719D"/>
    <w:rPr>
      <w:rFonts w:ascii="Wingdings" w:hAnsi="Wingdings" w:cs="Wingdings" w:hint="default"/>
    </w:rPr>
  </w:style>
  <w:style w:type="character" w:customStyle="1" w:styleId="WW8Num17z3">
    <w:name w:val="WW8Num17z3"/>
    <w:rsid w:val="0072719D"/>
    <w:rPr>
      <w:rFonts w:ascii="Symbol" w:hAnsi="Symbol" w:cs="Symbol" w:hint="default"/>
    </w:rPr>
  </w:style>
  <w:style w:type="character" w:customStyle="1" w:styleId="WW8Num18z0">
    <w:name w:val="WW8Num18z0"/>
    <w:rsid w:val="0072719D"/>
    <w:rPr>
      <w:rFonts w:hint="default"/>
      <w:w w:val="102"/>
    </w:rPr>
  </w:style>
  <w:style w:type="character" w:customStyle="1" w:styleId="WW8Num18z1">
    <w:name w:val="WW8Num18z1"/>
    <w:rsid w:val="0072719D"/>
  </w:style>
  <w:style w:type="character" w:customStyle="1" w:styleId="WW8Num18z2">
    <w:name w:val="WW8Num18z2"/>
    <w:rsid w:val="0072719D"/>
  </w:style>
  <w:style w:type="character" w:customStyle="1" w:styleId="WW8Num18z3">
    <w:name w:val="WW8Num18z3"/>
    <w:rsid w:val="0072719D"/>
  </w:style>
  <w:style w:type="character" w:customStyle="1" w:styleId="WW8Num18z4">
    <w:name w:val="WW8Num18z4"/>
    <w:rsid w:val="0072719D"/>
  </w:style>
  <w:style w:type="character" w:customStyle="1" w:styleId="WW8Num18z5">
    <w:name w:val="WW8Num18z5"/>
    <w:rsid w:val="0072719D"/>
  </w:style>
  <w:style w:type="character" w:customStyle="1" w:styleId="WW8Num18z6">
    <w:name w:val="WW8Num18z6"/>
    <w:rsid w:val="0072719D"/>
  </w:style>
  <w:style w:type="character" w:customStyle="1" w:styleId="WW8Num18z7">
    <w:name w:val="WW8Num18z7"/>
    <w:rsid w:val="0072719D"/>
  </w:style>
  <w:style w:type="character" w:customStyle="1" w:styleId="WW8Num18z8">
    <w:name w:val="WW8Num18z8"/>
    <w:rsid w:val="0072719D"/>
  </w:style>
  <w:style w:type="character" w:customStyle="1" w:styleId="WW8Num19z0">
    <w:name w:val="WW8Num19z0"/>
    <w:rsid w:val="0072719D"/>
  </w:style>
  <w:style w:type="character" w:customStyle="1" w:styleId="WW8Num19z1">
    <w:name w:val="WW8Num19z1"/>
    <w:rsid w:val="0072719D"/>
  </w:style>
  <w:style w:type="character" w:customStyle="1" w:styleId="WW8Num19z2">
    <w:name w:val="WW8Num19z2"/>
    <w:rsid w:val="0072719D"/>
  </w:style>
  <w:style w:type="character" w:customStyle="1" w:styleId="WW8Num19z3">
    <w:name w:val="WW8Num19z3"/>
    <w:rsid w:val="0072719D"/>
  </w:style>
  <w:style w:type="character" w:customStyle="1" w:styleId="WW8Num19z4">
    <w:name w:val="WW8Num19z4"/>
    <w:rsid w:val="0072719D"/>
  </w:style>
  <w:style w:type="character" w:customStyle="1" w:styleId="WW8Num19z5">
    <w:name w:val="WW8Num19z5"/>
    <w:rsid w:val="0072719D"/>
  </w:style>
  <w:style w:type="character" w:customStyle="1" w:styleId="WW8Num19z6">
    <w:name w:val="WW8Num19z6"/>
    <w:rsid w:val="0072719D"/>
  </w:style>
  <w:style w:type="character" w:customStyle="1" w:styleId="WW8Num19z7">
    <w:name w:val="WW8Num19z7"/>
    <w:rsid w:val="0072719D"/>
  </w:style>
  <w:style w:type="character" w:customStyle="1" w:styleId="WW8Num19z8">
    <w:name w:val="WW8Num19z8"/>
    <w:rsid w:val="0072719D"/>
  </w:style>
  <w:style w:type="character" w:customStyle="1" w:styleId="WW8Num20z0">
    <w:name w:val="WW8Num20z0"/>
    <w:rsid w:val="0072719D"/>
    <w:rPr>
      <w:rFonts w:ascii="Tahoma" w:eastAsia="Times New Roman" w:hAnsi="Tahoma" w:cs="Tahoma"/>
      <w:sz w:val="20"/>
      <w:szCs w:val="20"/>
    </w:rPr>
  </w:style>
  <w:style w:type="character" w:customStyle="1" w:styleId="WW8Num20z1">
    <w:name w:val="WW8Num20z1"/>
    <w:rsid w:val="0072719D"/>
    <w:rPr>
      <w:rFonts w:ascii="Courier New" w:hAnsi="Courier New" w:cs="Courier New" w:hint="default"/>
    </w:rPr>
  </w:style>
  <w:style w:type="character" w:customStyle="1" w:styleId="WW8Num20z2">
    <w:name w:val="WW8Num20z2"/>
    <w:rsid w:val="0072719D"/>
    <w:rPr>
      <w:rFonts w:ascii="Wingdings" w:hAnsi="Wingdings" w:cs="Wingdings" w:hint="default"/>
    </w:rPr>
  </w:style>
  <w:style w:type="character" w:customStyle="1" w:styleId="WW8Num20z3">
    <w:name w:val="WW8Num20z3"/>
    <w:rsid w:val="0072719D"/>
    <w:rPr>
      <w:rFonts w:ascii="Symbol" w:hAnsi="Symbol" w:cs="Symbol" w:hint="default"/>
    </w:rPr>
  </w:style>
  <w:style w:type="character" w:customStyle="1" w:styleId="WW8Num21z0">
    <w:name w:val="WW8Num21z0"/>
    <w:rsid w:val="0072719D"/>
  </w:style>
  <w:style w:type="character" w:customStyle="1" w:styleId="WW8Num21z1">
    <w:name w:val="WW8Num21z1"/>
    <w:rsid w:val="0072719D"/>
  </w:style>
  <w:style w:type="character" w:customStyle="1" w:styleId="WW8Num21z2">
    <w:name w:val="WW8Num21z2"/>
    <w:rsid w:val="0072719D"/>
  </w:style>
  <w:style w:type="character" w:customStyle="1" w:styleId="WW8Num21z3">
    <w:name w:val="WW8Num21z3"/>
    <w:rsid w:val="0072719D"/>
  </w:style>
  <w:style w:type="character" w:customStyle="1" w:styleId="WW8Num21z4">
    <w:name w:val="WW8Num21z4"/>
    <w:rsid w:val="0072719D"/>
  </w:style>
  <w:style w:type="character" w:customStyle="1" w:styleId="WW8Num21z5">
    <w:name w:val="WW8Num21z5"/>
    <w:rsid w:val="0072719D"/>
  </w:style>
  <w:style w:type="character" w:customStyle="1" w:styleId="WW8Num21z6">
    <w:name w:val="WW8Num21z6"/>
    <w:rsid w:val="0072719D"/>
  </w:style>
  <w:style w:type="character" w:customStyle="1" w:styleId="WW8Num21z7">
    <w:name w:val="WW8Num21z7"/>
    <w:rsid w:val="0072719D"/>
  </w:style>
  <w:style w:type="character" w:customStyle="1" w:styleId="WW8Num21z8">
    <w:name w:val="WW8Num21z8"/>
    <w:rsid w:val="0072719D"/>
  </w:style>
  <w:style w:type="character" w:customStyle="1" w:styleId="WW8Num22z0">
    <w:name w:val="WW8Num22z0"/>
    <w:rsid w:val="0072719D"/>
    <w:rPr>
      <w:rFonts w:ascii="OpenSymbol" w:hAnsi="OpenSymbol" w:cs="OpenSymbol" w:hint="default"/>
    </w:rPr>
  </w:style>
  <w:style w:type="character" w:customStyle="1" w:styleId="WW8Num23z0">
    <w:name w:val="WW8Num23z0"/>
    <w:rsid w:val="0072719D"/>
  </w:style>
  <w:style w:type="character" w:customStyle="1" w:styleId="WW8Num23z1">
    <w:name w:val="WW8Num23z1"/>
    <w:rsid w:val="0072719D"/>
  </w:style>
  <w:style w:type="character" w:customStyle="1" w:styleId="WW8Num23z2">
    <w:name w:val="WW8Num23z2"/>
    <w:rsid w:val="0072719D"/>
  </w:style>
  <w:style w:type="character" w:customStyle="1" w:styleId="WW8Num23z3">
    <w:name w:val="WW8Num23z3"/>
    <w:rsid w:val="0072719D"/>
  </w:style>
  <w:style w:type="character" w:customStyle="1" w:styleId="WW8Num23z4">
    <w:name w:val="WW8Num23z4"/>
    <w:rsid w:val="0072719D"/>
  </w:style>
  <w:style w:type="character" w:customStyle="1" w:styleId="WW8Num23z5">
    <w:name w:val="WW8Num23z5"/>
    <w:rsid w:val="0072719D"/>
  </w:style>
  <w:style w:type="character" w:customStyle="1" w:styleId="WW8Num23z6">
    <w:name w:val="WW8Num23z6"/>
    <w:rsid w:val="0072719D"/>
  </w:style>
  <w:style w:type="character" w:customStyle="1" w:styleId="WW8Num23z7">
    <w:name w:val="WW8Num23z7"/>
    <w:rsid w:val="0072719D"/>
  </w:style>
  <w:style w:type="character" w:customStyle="1" w:styleId="WW8Num23z8">
    <w:name w:val="WW8Num23z8"/>
    <w:rsid w:val="0072719D"/>
  </w:style>
  <w:style w:type="character" w:customStyle="1" w:styleId="WW8Num24z0">
    <w:name w:val="WW8Num24z0"/>
    <w:rsid w:val="0072719D"/>
    <w:rPr>
      <w:rFonts w:ascii="Liberation Serif" w:hAnsi="Liberation Serif" w:cs="Times New Roman" w:hint="default"/>
      <w:sz w:val="22"/>
    </w:rPr>
  </w:style>
  <w:style w:type="character" w:customStyle="1" w:styleId="WW8Num24z1">
    <w:name w:val="WW8Num24z1"/>
    <w:rsid w:val="0072719D"/>
  </w:style>
  <w:style w:type="character" w:customStyle="1" w:styleId="WW8Num24z2">
    <w:name w:val="WW8Num24z2"/>
    <w:rsid w:val="0072719D"/>
  </w:style>
  <w:style w:type="character" w:customStyle="1" w:styleId="WW8Num24z3">
    <w:name w:val="WW8Num24z3"/>
    <w:rsid w:val="0072719D"/>
  </w:style>
  <w:style w:type="character" w:customStyle="1" w:styleId="WW8Num24z4">
    <w:name w:val="WW8Num24z4"/>
    <w:rsid w:val="0072719D"/>
  </w:style>
  <w:style w:type="character" w:customStyle="1" w:styleId="WW8Num24z5">
    <w:name w:val="WW8Num24z5"/>
    <w:rsid w:val="0072719D"/>
  </w:style>
  <w:style w:type="character" w:customStyle="1" w:styleId="WW8Num24z6">
    <w:name w:val="WW8Num24z6"/>
    <w:rsid w:val="0072719D"/>
  </w:style>
  <w:style w:type="character" w:customStyle="1" w:styleId="WW8Num24z7">
    <w:name w:val="WW8Num24z7"/>
    <w:rsid w:val="0072719D"/>
  </w:style>
  <w:style w:type="character" w:customStyle="1" w:styleId="WW8Num24z8">
    <w:name w:val="WW8Num24z8"/>
    <w:rsid w:val="0072719D"/>
  </w:style>
  <w:style w:type="character" w:customStyle="1" w:styleId="WW8Num25z0">
    <w:name w:val="WW8Num25z0"/>
    <w:rsid w:val="0072719D"/>
    <w:rPr>
      <w:rFonts w:ascii="Symbol" w:hAnsi="Symbol" w:cs="Symbol" w:hint="default"/>
    </w:rPr>
  </w:style>
  <w:style w:type="character" w:customStyle="1" w:styleId="WW8Num25z1">
    <w:name w:val="WW8Num25z1"/>
    <w:rsid w:val="0072719D"/>
    <w:rPr>
      <w:rFonts w:ascii="Courier New" w:hAnsi="Courier New" w:cs="Courier New" w:hint="default"/>
    </w:rPr>
  </w:style>
  <w:style w:type="character" w:customStyle="1" w:styleId="WW8Num25z2">
    <w:name w:val="WW8Num25z2"/>
    <w:rsid w:val="0072719D"/>
    <w:rPr>
      <w:rFonts w:ascii="Wingdings" w:hAnsi="Wingdings" w:cs="Wingdings" w:hint="default"/>
    </w:rPr>
  </w:style>
  <w:style w:type="character" w:customStyle="1" w:styleId="WW8Num26z0">
    <w:name w:val="WW8Num26z0"/>
    <w:rsid w:val="0072719D"/>
  </w:style>
  <w:style w:type="character" w:customStyle="1" w:styleId="WW8Num26z1">
    <w:name w:val="WW8Num26z1"/>
    <w:rsid w:val="0072719D"/>
  </w:style>
  <w:style w:type="character" w:customStyle="1" w:styleId="WW8Num26z2">
    <w:name w:val="WW8Num26z2"/>
    <w:rsid w:val="0072719D"/>
  </w:style>
  <w:style w:type="character" w:customStyle="1" w:styleId="WW8Num26z3">
    <w:name w:val="WW8Num26z3"/>
    <w:rsid w:val="0072719D"/>
  </w:style>
  <w:style w:type="character" w:customStyle="1" w:styleId="WW8Num26z4">
    <w:name w:val="WW8Num26z4"/>
    <w:rsid w:val="0072719D"/>
  </w:style>
  <w:style w:type="character" w:customStyle="1" w:styleId="WW8Num26z5">
    <w:name w:val="WW8Num26z5"/>
    <w:rsid w:val="0072719D"/>
  </w:style>
  <w:style w:type="character" w:customStyle="1" w:styleId="WW8Num26z6">
    <w:name w:val="WW8Num26z6"/>
    <w:rsid w:val="0072719D"/>
  </w:style>
  <w:style w:type="character" w:customStyle="1" w:styleId="WW8Num26z7">
    <w:name w:val="WW8Num26z7"/>
    <w:rsid w:val="0072719D"/>
  </w:style>
  <w:style w:type="character" w:customStyle="1" w:styleId="WW8Num26z8">
    <w:name w:val="WW8Num26z8"/>
    <w:rsid w:val="0072719D"/>
  </w:style>
  <w:style w:type="character" w:customStyle="1" w:styleId="WW8Num27z0">
    <w:name w:val="WW8Num27z0"/>
    <w:rsid w:val="0072719D"/>
    <w:rPr>
      <w:rFonts w:ascii="Symbol" w:hAnsi="Symbol" w:cs="Symbol" w:hint="default"/>
    </w:rPr>
  </w:style>
  <w:style w:type="character" w:customStyle="1" w:styleId="WW8Num27z1">
    <w:name w:val="WW8Num27z1"/>
    <w:rsid w:val="0072719D"/>
    <w:rPr>
      <w:rFonts w:ascii="Courier New" w:hAnsi="Courier New" w:cs="Courier New" w:hint="default"/>
    </w:rPr>
  </w:style>
  <w:style w:type="character" w:customStyle="1" w:styleId="WW8Num27z2">
    <w:name w:val="WW8Num27z2"/>
    <w:rsid w:val="0072719D"/>
    <w:rPr>
      <w:rFonts w:ascii="Wingdings" w:hAnsi="Wingdings" w:cs="Wingdings" w:hint="default"/>
    </w:rPr>
  </w:style>
  <w:style w:type="character" w:customStyle="1" w:styleId="WW8Num28z0">
    <w:name w:val="WW8Num28z0"/>
    <w:rsid w:val="0072719D"/>
    <w:rPr>
      <w:rFonts w:ascii="Times New Roman" w:eastAsia="Times New Roman" w:hAnsi="Times New Roman" w:cs="Times New Roman"/>
      <w:sz w:val="22"/>
    </w:rPr>
  </w:style>
  <w:style w:type="character" w:customStyle="1" w:styleId="WW8Num28z1">
    <w:name w:val="WW8Num28z1"/>
    <w:rsid w:val="0072719D"/>
  </w:style>
  <w:style w:type="character" w:customStyle="1" w:styleId="WW8Num28z2">
    <w:name w:val="WW8Num28z2"/>
    <w:rsid w:val="0072719D"/>
  </w:style>
  <w:style w:type="character" w:customStyle="1" w:styleId="WW8Num28z3">
    <w:name w:val="WW8Num28z3"/>
    <w:rsid w:val="0072719D"/>
  </w:style>
  <w:style w:type="character" w:customStyle="1" w:styleId="WW8Num28z4">
    <w:name w:val="WW8Num28z4"/>
    <w:rsid w:val="0072719D"/>
  </w:style>
  <w:style w:type="character" w:customStyle="1" w:styleId="WW8Num28z5">
    <w:name w:val="WW8Num28z5"/>
    <w:rsid w:val="0072719D"/>
  </w:style>
  <w:style w:type="character" w:customStyle="1" w:styleId="WW8Num28z6">
    <w:name w:val="WW8Num28z6"/>
    <w:rsid w:val="0072719D"/>
  </w:style>
  <w:style w:type="character" w:customStyle="1" w:styleId="WW8Num28z7">
    <w:name w:val="WW8Num28z7"/>
    <w:rsid w:val="0072719D"/>
  </w:style>
  <w:style w:type="character" w:customStyle="1" w:styleId="WW8Num28z8">
    <w:name w:val="WW8Num28z8"/>
    <w:rsid w:val="0072719D"/>
  </w:style>
  <w:style w:type="character" w:customStyle="1" w:styleId="WW8Num29z0">
    <w:name w:val="WW8Num29z0"/>
    <w:rsid w:val="0072719D"/>
    <w:rPr>
      <w:rFonts w:ascii="Tahoma" w:hAnsi="Tahoma" w:cs="Tahoma" w:hint="default"/>
    </w:rPr>
  </w:style>
  <w:style w:type="character" w:customStyle="1" w:styleId="WW8Num29z1">
    <w:name w:val="WW8Num29z1"/>
    <w:rsid w:val="0072719D"/>
    <w:rPr>
      <w:rFonts w:ascii="Courier New" w:hAnsi="Courier New" w:cs="Courier New" w:hint="default"/>
    </w:rPr>
  </w:style>
  <w:style w:type="character" w:customStyle="1" w:styleId="WW8Num29z2">
    <w:name w:val="WW8Num29z2"/>
    <w:rsid w:val="0072719D"/>
    <w:rPr>
      <w:rFonts w:ascii="Wingdings" w:hAnsi="Wingdings" w:cs="Wingdings" w:hint="default"/>
    </w:rPr>
  </w:style>
  <w:style w:type="character" w:customStyle="1" w:styleId="WW8Num29z3">
    <w:name w:val="WW8Num29z3"/>
    <w:rsid w:val="0072719D"/>
    <w:rPr>
      <w:rFonts w:ascii="Symbol" w:hAnsi="Symbol" w:cs="Symbol" w:hint="default"/>
    </w:rPr>
  </w:style>
  <w:style w:type="character" w:customStyle="1" w:styleId="WW8Num30z0">
    <w:name w:val="WW8Num30z0"/>
    <w:rsid w:val="0072719D"/>
  </w:style>
  <w:style w:type="character" w:customStyle="1" w:styleId="WW8Num30z1">
    <w:name w:val="WW8Num30z1"/>
    <w:rsid w:val="0072719D"/>
  </w:style>
  <w:style w:type="character" w:customStyle="1" w:styleId="WW8Num30z2">
    <w:name w:val="WW8Num30z2"/>
    <w:rsid w:val="0072719D"/>
  </w:style>
  <w:style w:type="character" w:customStyle="1" w:styleId="WW8Num30z3">
    <w:name w:val="WW8Num30z3"/>
    <w:rsid w:val="0072719D"/>
  </w:style>
  <w:style w:type="character" w:customStyle="1" w:styleId="WW8Num30z4">
    <w:name w:val="WW8Num30z4"/>
    <w:rsid w:val="0072719D"/>
  </w:style>
  <w:style w:type="character" w:customStyle="1" w:styleId="WW8Num30z5">
    <w:name w:val="WW8Num30z5"/>
    <w:rsid w:val="0072719D"/>
  </w:style>
  <w:style w:type="character" w:customStyle="1" w:styleId="WW8Num30z6">
    <w:name w:val="WW8Num30z6"/>
    <w:rsid w:val="0072719D"/>
  </w:style>
  <w:style w:type="character" w:customStyle="1" w:styleId="WW8Num30z7">
    <w:name w:val="WW8Num30z7"/>
    <w:rsid w:val="0072719D"/>
  </w:style>
  <w:style w:type="character" w:customStyle="1" w:styleId="WW8Num30z8">
    <w:name w:val="WW8Num30z8"/>
    <w:rsid w:val="0072719D"/>
  </w:style>
  <w:style w:type="character" w:customStyle="1" w:styleId="WW8Num31z0">
    <w:name w:val="WW8Num31z0"/>
    <w:rsid w:val="0072719D"/>
    <w:rPr>
      <w:rFonts w:hint="default"/>
    </w:rPr>
  </w:style>
  <w:style w:type="character" w:customStyle="1" w:styleId="WW8Num31z1">
    <w:name w:val="WW8Num31z1"/>
    <w:rsid w:val="0072719D"/>
  </w:style>
  <w:style w:type="character" w:customStyle="1" w:styleId="WW8Num31z2">
    <w:name w:val="WW8Num31z2"/>
    <w:rsid w:val="0072719D"/>
  </w:style>
  <w:style w:type="character" w:customStyle="1" w:styleId="WW8Num31z3">
    <w:name w:val="WW8Num31z3"/>
    <w:rsid w:val="0072719D"/>
  </w:style>
  <w:style w:type="character" w:customStyle="1" w:styleId="WW8Num31z4">
    <w:name w:val="WW8Num31z4"/>
    <w:rsid w:val="0072719D"/>
  </w:style>
  <w:style w:type="character" w:customStyle="1" w:styleId="WW8Num31z5">
    <w:name w:val="WW8Num31z5"/>
    <w:rsid w:val="0072719D"/>
  </w:style>
  <w:style w:type="character" w:customStyle="1" w:styleId="WW8Num31z6">
    <w:name w:val="WW8Num31z6"/>
    <w:rsid w:val="0072719D"/>
  </w:style>
  <w:style w:type="character" w:customStyle="1" w:styleId="WW8Num31z7">
    <w:name w:val="WW8Num31z7"/>
    <w:rsid w:val="0072719D"/>
  </w:style>
  <w:style w:type="character" w:customStyle="1" w:styleId="WW8Num31z8">
    <w:name w:val="WW8Num31z8"/>
    <w:rsid w:val="0072719D"/>
  </w:style>
  <w:style w:type="character" w:customStyle="1" w:styleId="WW8Num32z0">
    <w:name w:val="WW8Num32z0"/>
    <w:rsid w:val="0072719D"/>
    <w:rPr>
      <w:rFonts w:ascii="Symbol" w:hAnsi="Symbol" w:cs="Symbol" w:hint="default"/>
    </w:rPr>
  </w:style>
  <w:style w:type="character" w:customStyle="1" w:styleId="WW8Num32z1">
    <w:name w:val="WW8Num32z1"/>
    <w:rsid w:val="0072719D"/>
    <w:rPr>
      <w:rFonts w:ascii="Courier New" w:hAnsi="Courier New" w:cs="Courier New" w:hint="default"/>
    </w:rPr>
  </w:style>
  <w:style w:type="character" w:customStyle="1" w:styleId="WW8Num32z2">
    <w:name w:val="WW8Num32z2"/>
    <w:rsid w:val="0072719D"/>
    <w:rPr>
      <w:rFonts w:ascii="Wingdings" w:hAnsi="Wingdings" w:cs="Wingdings" w:hint="default"/>
    </w:rPr>
  </w:style>
  <w:style w:type="character" w:customStyle="1" w:styleId="WW8Num33z0">
    <w:name w:val="WW8Num33z0"/>
    <w:rsid w:val="0072719D"/>
  </w:style>
  <w:style w:type="character" w:customStyle="1" w:styleId="WW8Num33z1">
    <w:name w:val="WW8Num33z1"/>
    <w:rsid w:val="0072719D"/>
  </w:style>
  <w:style w:type="character" w:customStyle="1" w:styleId="WW8Num33z2">
    <w:name w:val="WW8Num33z2"/>
    <w:rsid w:val="0072719D"/>
  </w:style>
  <w:style w:type="character" w:customStyle="1" w:styleId="WW8Num33z3">
    <w:name w:val="WW8Num33z3"/>
    <w:rsid w:val="0072719D"/>
  </w:style>
  <w:style w:type="character" w:customStyle="1" w:styleId="WW8Num33z4">
    <w:name w:val="WW8Num33z4"/>
    <w:rsid w:val="0072719D"/>
  </w:style>
  <w:style w:type="character" w:customStyle="1" w:styleId="WW8Num33z5">
    <w:name w:val="WW8Num33z5"/>
    <w:rsid w:val="0072719D"/>
  </w:style>
  <w:style w:type="character" w:customStyle="1" w:styleId="WW8Num33z6">
    <w:name w:val="WW8Num33z6"/>
    <w:rsid w:val="0072719D"/>
  </w:style>
  <w:style w:type="character" w:customStyle="1" w:styleId="WW8Num33z7">
    <w:name w:val="WW8Num33z7"/>
    <w:rsid w:val="0072719D"/>
  </w:style>
  <w:style w:type="character" w:customStyle="1" w:styleId="WW8Num33z8">
    <w:name w:val="WW8Num33z8"/>
    <w:rsid w:val="0072719D"/>
  </w:style>
  <w:style w:type="character" w:customStyle="1" w:styleId="WW8Num34z0">
    <w:name w:val="WW8Num34z0"/>
    <w:rsid w:val="0072719D"/>
    <w:rPr>
      <w:rFonts w:ascii="Tahoma" w:eastAsia="Calibri" w:hAnsi="Tahoma" w:cs="Tahoma" w:hint="default"/>
    </w:rPr>
  </w:style>
  <w:style w:type="character" w:customStyle="1" w:styleId="WW8Num34z1">
    <w:name w:val="WW8Num34z1"/>
    <w:rsid w:val="0072719D"/>
    <w:rPr>
      <w:rFonts w:ascii="Courier New" w:hAnsi="Courier New" w:cs="Courier New" w:hint="default"/>
    </w:rPr>
  </w:style>
  <w:style w:type="character" w:customStyle="1" w:styleId="WW8Num34z2">
    <w:name w:val="WW8Num34z2"/>
    <w:rsid w:val="0072719D"/>
    <w:rPr>
      <w:rFonts w:ascii="Wingdings" w:hAnsi="Wingdings" w:cs="Wingdings" w:hint="default"/>
    </w:rPr>
  </w:style>
  <w:style w:type="character" w:customStyle="1" w:styleId="WW8Num34z3">
    <w:name w:val="WW8Num34z3"/>
    <w:rsid w:val="0072719D"/>
    <w:rPr>
      <w:rFonts w:ascii="Symbol" w:hAnsi="Symbol" w:cs="Symbol" w:hint="default"/>
    </w:rPr>
  </w:style>
  <w:style w:type="character" w:customStyle="1" w:styleId="WW8Num35z0">
    <w:name w:val="WW8Num35z0"/>
    <w:rsid w:val="0072719D"/>
  </w:style>
  <w:style w:type="character" w:customStyle="1" w:styleId="WW8Num35z1">
    <w:name w:val="WW8Num35z1"/>
    <w:rsid w:val="0072719D"/>
  </w:style>
  <w:style w:type="character" w:customStyle="1" w:styleId="WW8Num35z2">
    <w:name w:val="WW8Num35z2"/>
    <w:rsid w:val="0072719D"/>
  </w:style>
  <w:style w:type="character" w:customStyle="1" w:styleId="WW8Num35z3">
    <w:name w:val="WW8Num35z3"/>
    <w:rsid w:val="0072719D"/>
  </w:style>
  <w:style w:type="character" w:customStyle="1" w:styleId="WW8Num35z4">
    <w:name w:val="WW8Num35z4"/>
    <w:rsid w:val="0072719D"/>
  </w:style>
  <w:style w:type="character" w:customStyle="1" w:styleId="WW8Num35z5">
    <w:name w:val="WW8Num35z5"/>
    <w:rsid w:val="0072719D"/>
  </w:style>
  <w:style w:type="character" w:customStyle="1" w:styleId="WW8Num35z6">
    <w:name w:val="WW8Num35z6"/>
    <w:rsid w:val="0072719D"/>
  </w:style>
  <w:style w:type="character" w:customStyle="1" w:styleId="WW8Num35z7">
    <w:name w:val="WW8Num35z7"/>
    <w:rsid w:val="0072719D"/>
  </w:style>
  <w:style w:type="character" w:customStyle="1" w:styleId="WW8Num35z8">
    <w:name w:val="WW8Num35z8"/>
    <w:rsid w:val="0072719D"/>
  </w:style>
  <w:style w:type="character" w:customStyle="1" w:styleId="WW8Num36z0">
    <w:name w:val="WW8Num36z0"/>
    <w:rsid w:val="0072719D"/>
  </w:style>
  <w:style w:type="character" w:customStyle="1" w:styleId="WW8Num36z1">
    <w:name w:val="WW8Num36z1"/>
    <w:rsid w:val="0072719D"/>
    <w:rPr>
      <w:rFonts w:ascii="Courier New" w:hAnsi="Courier New" w:cs="Courier New" w:hint="default"/>
    </w:rPr>
  </w:style>
  <w:style w:type="character" w:customStyle="1" w:styleId="WW8Num36z2">
    <w:name w:val="WW8Num36z2"/>
    <w:rsid w:val="0072719D"/>
    <w:rPr>
      <w:rFonts w:ascii="Wingdings" w:hAnsi="Wingdings" w:cs="Wingdings" w:hint="default"/>
    </w:rPr>
  </w:style>
  <w:style w:type="character" w:customStyle="1" w:styleId="WW8Num36z3">
    <w:name w:val="WW8Num36z3"/>
    <w:rsid w:val="0072719D"/>
    <w:rPr>
      <w:rFonts w:ascii="Symbol" w:hAnsi="Symbol" w:cs="Symbol" w:hint="default"/>
    </w:rPr>
  </w:style>
  <w:style w:type="character" w:customStyle="1" w:styleId="WW8Num37z0">
    <w:name w:val="WW8Num37z0"/>
    <w:rsid w:val="0072719D"/>
  </w:style>
  <w:style w:type="character" w:customStyle="1" w:styleId="WW8Num37z1">
    <w:name w:val="WW8Num37z1"/>
    <w:rsid w:val="0072719D"/>
  </w:style>
  <w:style w:type="character" w:customStyle="1" w:styleId="WW8Num37z2">
    <w:name w:val="WW8Num37z2"/>
    <w:rsid w:val="0072719D"/>
  </w:style>
  <w:style w:type="character" w:customStyle="1" w:styleId="WW8Num37z3">
    <w:name w:val="WW8Num37z3"/>
    <w:rsid w:val="0072719D"/>
  </w:style>
  <w:style w:type="character" w:customStyle="1" w:styleId="WW8Num37z4">
    <w:name w:val="WW8Num37z4"/>
    <w:rsid w:val="0072719D"/>
  </w:style>
  <w:style w:type="character" w:customStyle="1" w:styleId="WW8Num37z5">
    <w:name w:val="WW8Num37z5"/>
    <w:rsid w:val="0072719D"/>
  </w:style>
  <w:style w:type="character" w:customStyle="1" w:styleId="WW8Num37z6">
    <w:name w:val="WW8Num37z6"/>
    <w:rsid w:val="0072719D"/>
  </w:style>
  <w:style w:type="character" w:customStyle="1" w:styleId="WW8Num37z7">
    <w:name w:val="WW8Num37z7"/>
    <w:rsid w:val="0072719D"/>
  </w:style>
  <w:style w:type="character" w:customStyle="1" w:styleId="WW8Num37z8">
    <w:name w:val="WW8Num37z8"/>
    <w:rsid w:val="0072719D"/>
  </w:style>
  <w:style w:type="character" w:customStyle="1" w:styleId="WW8Num38z0">
    <w:name w:val="WW8Num38z0"/>
    <w:rsid w:val="0072719D"/>
    <w:rPr>
      <w:rFonts w:hint="default"/>
      <w:w w:val="102"/>
    </w:rPr>
  </w:style>
  <w:style w:type="character" w:customStyle="1" w:styleId="WW8Num38z1">
    <w:name w:val="WW8Num38z1"/>
    <w:rsid w:val="0072719D"/>
  </w:style>
  <w:style w:type="character" w:customStyle="1" w:styleId="WW8Num38z2">
    <w:name w:val="WW8Num38z2"/>
    <w:rsid w:val="0072719D"/>
  </w:style>
  <w:style w:type="character" w:customStyle="1" w:styleId="WW8Num38z3">
    <w:name w:val="WW8Num38z3"/>
    <w:rsid w:val="0072719D"/>
  </w:style>
  <w:style w:type="character" w:customStyle="1" w:styleId="WW8Num38z4">
    <w:name w:val="WW8Num38z4"/>
    <w:rsid w:val="0072719D"/>
  </w:style>
  <w:style w:type="character" w:customStyle="1" w:styleId="WW8Num38z5">
    <w:name w:val="WW8Num38z5"/>
    <w:rsid w:val="0072719D"/>
  </w:style>
  <w:style w:type="character" w:customStyle="1" w:styleId="WW8Num38z6">
    <w:name w:val="WW8Num38z6"/>
    <w:rsid w:val="0072719D"/>
  </w:style>
  <w:style w:type="character" w:customStyle="1" w:styleId="WW8Num38z7">
    <w:name w:val="WW8Num38z7"/>
    <w:rsid w:val="0072719D"/>
  </w:style>
  <w:style w:type="character" w:customStyle="1" w:styleId="WW8Num38z8">
    <w:name w:val="WW8Num38z8"/>
    <w:rsid w:val="0072719D"/>
  </w:style>
  <w:style w:type="character" w:customStyle="1" w:styleId="WW8Num39z0">
    <w:name w:val="WW8Num39z0"/>
    <w:rsid w:val="0072719D"/>
  </w:style>
  <w:style w:type="character" w:customStyle="1" w:styleId="WW8Num39z1">
    <w:name w:val="WW8Num39z1"/>
    <w:rsid w:val="0072719D"/>
  </w:style>
  <w:style w:type="character" w:customStyle="1" w:styleId="WW8Num39z2">
    <w:name w:val="WW8Num39z2"/>
    <w:rsid w:val="0072719D"/>
  </w:style>
  <w:style w:type="character" w:customStyle="1" w:styleId="WW8Num39z3">
    <w:name w:val="WW8Num39z3"/>
    <w:rsid w:val="0072719D"/>
  </w:style>
  <w:style w:type="character" w:customStyle="1" w:styleId="WW8Num39z4">
    <w:name w:val="WW8Num39z4"/>
    <w:rsid w:val="0072719D"/>
  </w:style>
  <w:style w:type="character" w:customStyle="1" w:styleId="WW8Num39z5">
    <w:name w:val="WW8Num39z5"/>
    <w:rsid w:val="0072719D"/>
  </w:style>
  <w:style w:type="character" w:customStyle="1" w:styleId="WW8Num39z6">
    <w:name w:val="WW8Num39z6"/>
    <w:rsid w:val="0072719D"/>
  </w:style>
  <w:style w:type="character" w:customStyle="1" w:styleId="WW8Num39z7">
    <w:name w:val="WW8Num39z7"/>
    <w:rsid w:val="0072719D"/>
  </w:style>
  <w:style w:type="character" w:customStyle="1" w:styleId="WW8Num39z8">
    <w:name w:val="WW8Num39z8"/>
    <w:rsid w:val="0072719D"/>
  </w:style>
  <w:style w:type="character" w:customStyle="1" w:styleId="Carpredefinitoparagrafo1">
    <w:name w:val="Car. predefinito paragrafo1"/>
    <w:rsid w:val="0072719D"/>
  </w:style>
  <w:style w:type="character" w:customStyle="1" w:styleId="TestofumettoCarattere">
    <w:name w:val="Testo fumetto Carattere"/>
    <w:rsid w:val="0072719D"/>
    <w:rPr>
      <w:rFonts w:ascii="Tahoma" w:hAnsi="Tahoma" w:cs="Tahoma"/>
      <w:sz w:val="16"/>
      <w:szCs w:val="16"/>
    </w:rPr>
  </w:style>
  <w:style w:type="character" w:customStyle="1" w:styleId="TestonotaapidipaginaCarattere">
    <w:name w:val="Testo nota a piè di pagina Carattere"/>
    <w:rsid w:val="0072719D"/>
    <w:rPr>
      <w:rFonts w:ascii="Cambria" w:eastAsia="MS ??" w:hAnsi="Cambria" w:cs="Times New Roman"/>
      <w:sz w:val="20"/>
      <w:szCs w:val="20"/>
    </w:rPr>
  </w:style>
  <w:style w:type="character" w:customStyle="1" w:styleId="Caratterinotaapidipagina">
    <w:name w:val="Caratteri nota a piè di pagina"/>
    <w:rsid w:val="0072719D"/>
    <w:rPr>
      <w:vertAlign w:val="superscript"/>
    </w:rPr>
  </w:style>
  <w:style w:type="character" w:customStyle="1" w:styleId="ListLabel1">
    <w:name w:val="ListLabel 1"/>
    <w:rsid w:val="0072719D"/>
    <w:rPr>
      <w:rFonts w:cs="Courier New"/>
    </w:rPr>
  </w:style>
  <w:style w:type="character" w:customStyle="1" w:styleId="ListLabel2">
    <w:name w:val="ListLabel 2"/>
    <w:rsid w:val="0072719D"/>
    <w:rPr>
      <w:rFonts w:cs="Courier New"/>
    </w:rPr>
  </w:style>
  <w:style w:type="character" w:customStyle="1" w:styleId="ListLabel3">
    <w:name w:val="ListLabel 3"/>
    <w:rsid w:val="0072719D"/>
    <w:rPr>
      <w:rFonts w:cs="Courier New"/>
    </w:rPr>
  </w:style>
  <w:style w:type="character" w:customStyle="1" w:styleId="ListLabel4">
    <w:name w:val="ListLabel 4"/>
    <w:rsid w:val="0072719D"/>
    <w:rPr>
      <w:rFonts w:eastAsia="Calibri" w:cs="Tahoma"/>
    </w:rPr>
  </w:style>
  <w:style w:type="character" w:customStyle="1" w:styleId="ListLabel5">
    <w:name w:val="ListLabel 5"/>
    <w:rsid w:val="0072719D"/>
    <w:rPr>
      <w:rFonts w:cs="Courier New"/>
    </w:rPr>
  </w:style>
  <w:style w:type="character" w:customStyle="1" w:styleId="ListLabel6">
    <w:name w:val="ListLabel 6"/>
    <w:rsid w:val="0072719D"/>
    <w:rPr>
      <w:rFonts w:cs="Courier New"/>
    </w:rPr>
  </w:style>
  <w:style w:type="character" w:customStyle="1" w:styleId="ListLabel7">
    <w:name w:val="ListLabel 7"/>
    <w:rsid w:val="0072719D"/>
    <w:rPr>
      <w:rFonts w:cs="Courier New"/>
    </w:rPr>
  </w:style>
  <w:style w:type="character" w:customStyle="1" w:styleId="ListLabel8">
    <w:name w:val="ListLabel 8"/>
    <w:rsid w:val="0072719D"/>
    <w:rPr>
      <w:rFonts w:cs="Courier New"/>
    </w:rPr>
  </w:style>
  <w:style w:type="character" w:customStyle="1" w:styleId="ListLabel9">
    <w:name w:val="ListLabel 9"/>
    <w:rsid w:val="0072719D"/>
    <w:rPr>
      <w:rFonts w:cs="Courier New"/>
    </w:rPr>
  </w:style>
  <w:style w:type="character" w:customStyle="1" w:styleId="ListLabel10">
    <w:name w:val="ListLabel 10"/>
    <w:rsid w:val="0072719D"/>
    <w:rPr>
      <w:rFonts w:cs="Courier New"/>
    </w:rPr>
  </w:style>
  <w:style w:type="character" w:customStyle="1" w:styleId="ListLabel11">
    <w:name w:val="ListLabel 11"/>
    <w:rsid w:val="0072719D"/>
    <w:rPr>
      <w:rFonts w:cs="Courier New"/>
    </w:rPr>
  </w:style>
  <w:style w:type="character" w:customStyle="1" w:styleId="ListLabel12">
    <w:name w:val="ListLabel 12"/>
    <w:rsid w:val="0072719D"/>
    <w:rPr>
      <w:rFonts w:cs="Courier New"/>
    </w:rPr>
  </w:style>
  <w:style w:type="character" w:customStyle="1" w:styleId="ListLabel13">
    <w:name w:val="ListLabel 13"/>
    <w:rsid w:val="0072719D"/>
    <w:rPr>
      <w:rFonts w:cs="Courier New"/>
    </w:rPr>
  </w:style>
  <w:style w:type="character" w:customStyle="1" w:styleId="ListLabel14">
    <w:name w:val="ListLabel 14"/>
    <w:rsid w:val="0072719D"/>
    <w:rPr>
      <w:rFonts w:cs="Courier New"/>
    </w:rPr>
  </w:style>
  <w:style w:type="character" w:customStyle="1" w:styleId="ListLabel15">
    <w:name w:val="ListLabel 15"/>
    <w:rsid w:val="0072719D"/>
    <w:rPr>
      <w:rFonts w:cs="Courier New"/>
    </w:rPr>
  </w:style>
  <w:style w:type="character" w:customStyle="1" w:styleId="ListLabel16">
    <w:name w:val="ListLabel 16"/>
    <w:rsid w:val="0072719D"/>
    <w:rPr>
      <w:rFonts w:cs="Courier New"/>
    </w:rPr>
  </w:style>
  <w:style w:type="character" w:customStyle="1" w:styleId="ListLabel17">
    <w:name w:val="ListLabel 17"/>
    <w:rsid w:val="0072719D"/>
    <w:rPr>
      <w:rFonts w:cs="Courier New"/>
    </w:rPr>
  </w:style>
  <w:style w:type="character" w:customStyle="1" w:styleId="ListLabel18">
    <w:name w:val="ListLabel 18"/>
    <w:rsid w:val="0072719D"/>
    <w:rPr>
      <w:rFonts w:cs="Courier New"/>
    </w:rPr>
  </w:style>
  <w:style w:type="character" w:customStyle="1" w:styleId="ListLabel19">
    <w:name w:val="ListLabel 19"/>
    <w:rsid w:val="0072719D"/>
    <w:rPr>
      <w:rFonts w:cs="Courier New"/>
    </w:rPr>
  </w:style>
  <w:style w:type="character" w:customStyle="1" w:styleId="ListLabel20">
    <w:name w:val="ListLabel 20"/>
    <w:rsid w:val="0072719D"/>
    <w:rPr>
      <w:rFonts w:cs="Courier New"/>
    </w:rPr>
  </w:style>
  <w:style w:type="character" w:customStyle="1" w:styleId="ListLabel21">
    <w:name w:val="ListLabel 21"/>
    <w:rsid w:val="0072719D"/>
    <w:rPr>
      <w:rFonts w:cs="Courier New"/>
    </w:rPr>
  </w:style>
  <w:style w:type="character" w:customStyle="1" w:styleId="ListLabel22">
    <w:name w:val="ListLabel 22"/>
    <w:rsid w:val="0072719D"/>
    <w:rPr>
      <w:rFonts w:eastAsia="Calibri" w:cs="Tahoma"/>
    </w:rPr>
  </w:style>
  <w:style w:type="character" w:customStyle="1" w:styleId="ListLabel23">
    <w:name w:val="ListLabel 23"/>
    <w:rsid w:val="0072719D"/>
    <w:rPr>
      <w:rFonts w:cs="Courier New"/>
    </w:rPr>
  </w:style>
  <w:style w:type="character" w:customStyle="1" w:styleId="ListLabel24">
    <w:name w:val="ListLabel 24"/>
    <w:rsid w:val="0072719D"/>
    <w:rPr>
      <w:rFonts w:cs="Courier New"/>
    </w:rPr>
  </w:style>
  <w:style w:type="character" w:customStyle="1" w:styleId="ListLabel25">
    <w:name w:val="ListLabel 25"/>
    <w:rsid w:val="0072719D"/>
    <w:rPr>
      <w:rFonts w:cs="Courier New"/>
    </w:rPr>
  </w:style>
  <w:style w:type="character" w:customStyle="1" w:styleId="ListLabel26">
    <w:name w:val="ListLabel 26"/>
    <w:rsid w:val="0072719D"/>
    <w:rPr>
      <w:rFonts w:eastAsia="Calibri" w:cs="Tahoma"/>
    </w:rPr>
  </w:style>
  <w:style w:type="character" w:customStyle="1" w:styleId="ListLabel27">
    <w:name w:val="ListLabel 27"/>
    <w:rsid w:val="0072719D"/>
    <w:rPr>
      <w:rFonts w:cs="Courier New"/>
    </w:rPr>
  </w:style>
  <w:style w:type="character" w:customStyle="1" w:styleId="ListLabel28">
    <w:name w:val="ListLabel 28"/>
    <w:rsid w:val="0072719D"/>
    <w:rPr>
      <w:rFonts w:cs="Courier New"/>
    </w:rPr>
  </w:style>
  <w:style w:type="character" w:customStyle="1" w:styleId="ListLabel29">
    <w:name w:val="ListLabel 29"/>
    <w:rsid w:val="0072719D"/>
    <w:rPr>
      <w:rFonts w:cs="Courier New"/>
    </w:rPr>
  </w:style>
  <w:style w:type="character" w:customStyle="1" w:styleId="ListLabel30">
    <w:name w:val="ListLabel 30"/>
    <w:rsid w:val="0072719D"/>
    <w:rPr>
      <w:rFonts w:ascii="Tahoma" w:eastAsia="Calibri" w:hAnsi="Tahoma" w:cs="Tahoma"/>
    </w:rPr>
  </w:style>
  <w:style w:type="character" w:customStyle="1" w:styleId="ListLabel31">
    <w:name w:val="ListLabel 31"/>
    <w:rsid w:val="0072719D"/>
    <w:rPr>
      <w:rFonts w:cs="Courier New"/>
    </w:rPr>
  </w:style>
  <w:style w:type="character" w:customStyle="1" w:styleId="ListLabel32">
    <w:name w:val="ListLabel 32"/>
    <w:rsid w:val="0072719D"/>
    <w:rPr>
      <w:rFonts w:cs="Courier New"/>
    </w:rPr>
  </w:style>
  <w:style w:type="character" w:customStyle="1" w:styleId="ListLabel33">
    <w:name w:val="ListLabel 33"/>
    <w:rsid w:val="0072719D"/>
    <w:rPr>
      <w:rFonts w:cs="Courier New"/>
    </w:rPr>
  </w:style>
  <w:style w:type="character" w:customStyle="1" w:styleId="ListLabel34">
    <w:name w:val="ListLabel 34"/>
    <w:rsid w:val="0072719D"/>
    <w:rPr>
      <w:rFonts w:eastAsia="Calibri" w:cs="Tahoma"/>
    </w:rPr>
  </w:style>
  <w:style w:type="character" w:customStyle="1" w:styleId="ListLabel35">
    <w:name w:val="ListLabel 35"/>
    <w:rsid w:val="0072719D"/>
    <w:rPr>
      <w:rFonts w:cs="Courier New"/>
    </w:rPr>
  </w:style>
  <w:style w:type="character" w:customStyle="1" w:styleId="ListLabel36">
    <w:name w:val="ListLabel 36"/>
    <w:rsid w:val="0072719D"/>
    <w:rPr>
      <w:rFonts w:cs="Courier New"/>
    </w:rPr>
  </w:style>
  <w:style w:type="character" w:customStyle="1" w:styleId="ListLabel37">
    <w:name w:val="ListLabel 37"/>
    <w:rsid w:val="0072719D"/>
    <w:rPr>
      <w:rFonts w:cs="Courier New"/>
    </w:rPr>
  </w:style>
  <w:style w:type="character" w:customStyle="1" w:styleId="ListLabel38">
    <w:name w:val="ListLabel 38"/>
    <w:rsid w:val="0072719D"/>
    <w:rPr>
      <w:rFonts w:cs="Courier New"/>
    </w:rPr>
  </w:style>
  <w:style w:type="character" w:customStyle="1" w:styleId="ListLabel39">
    <w:name w:val="ListLabel 39"/>
    <w:rsid w:val="0072719D"/>
    <w:rPr>
      <w:rFonts w:cs="Courier New"/>
    </w:rPr>
  </w:style>
  <w:style w:type="character" w:customStyle="1" w:styleId="ListLabel40">
    <w:name w:val="ListLabel 40"/>
    <w:rsid w:val="0072719D"/>
    <w:rPr>
      <w:rFonts w:cs="Courier New"/>
    </w:rPr>
  </w:style>
  <w:style w:type="character" w:customStyle="1" w:styleId="ListLabel41">
    <w:name w:val="ListLabel 41"/>
    <w:rsid w:val="0072719D"/>
    <w:rPr>
      <w:rFonts w:cs="Courier New"/>
    </w:rPr>
  </w:style>
  <w:style w:type="character" w:customStyle="1" w:styleId="ListLabel42">
    <w:name w:val="ListLabel 42"/>
    <w:rsid w:val="0072719D"/>
    <w:rPr>
      <w:rFonts w:cs="Courier New"/>
    </w:rPr>
  </w:style>
  <w:style w:type="character" w:customStyle="1" w:styleId="ListLabel43">
    <w:name w:val="ListLabel 43"/>
    <w:rsid w:val="0072719D"/>
    <w:rPr>
      <w:rFonts w:cs="Courier New"/>
    </w:rPr>
  </w:style>
  <w:style w:type="character" w:customStyle="1" w:styleId="ListLabel44">
    <w:name w:val="ListLabel 44"/>
    <w:rsid w:val="0072719D"/>
    <w:rPr>
      <w:rFonts w:cs="Courier New"/>
    </w:rPr>
  </w:style>
  <w:style w:type="character" w:customStyle="1" w:styleId="ListLabel45">
    <w:name w:val="ListLabel 45"/>
    <w:rsid w:val="0072719D"/>
    <w:rPr>
      <w:rFonts w:cs="Courier New"/>
    </w:rPr>
  </w:style>
  <w:style w:type="character" w:customStyle="1" w:styleId="ListLabel46">
    <w:name w:val="ListLabel 46"/>
    <w:rsid w:val="0072719D"/>
    <w:rPr>
      <w:rFonts w:cs="Courier New"/>
    </w:rPr>
  </w:style>
  <w:style w:type="character" w:customStyle="1" w:styleId="ListLabel47">
    <w:name w:val="ListLabel 47"/>
    <w:rsid w:val="0072719D"/>
    <w:rPr>
      <w:rFonts w:cs="Courier New"/>
    </w:rPr>
  </w:style>
  <w:style w:type="character" w:customStyle="1" w:styleId="ListLabel48">
    <w:name w:val="ListLabel 48"/>
    <w:rsid w:val="0072719D"/>
    <w:rPr>
      <w:rFonts w:cs="Courier New"/>
    </w:rPr>
  </w:style>
  <w:style w:type="character" w:customStyle="1" w:styleId="ListLabel49">
    <w:name w:val="ListLabel 49"/>
    <w:rsid w:val="0072719D"/>
    <w:rPr>
      <w:rFonts w:cs="Courier New"/>
    </w:rPr>
  </w:style>
  <w:style w:type="character" w:customStyle="1" w:styleId="ListLabel50">
    <w:name w:val="ListLabel 50"/>
    <w:rsid w:val="0072719D"/>
    <w:rPr>
      <w:rFonts w:cs="Courier New"/>
    </w:rPr>
  </w:style>
  <w:style w:type="character" w:customStyle="1" w:styleId="ListLabel51">
    <w:name w:val="ListLabel 51"/>
    <w:rsid w:val="0072719D"/>
    <w:rPr>
      <w:rFonts w:cs="Courier New"/>
    </w:rPr>
  </w:style>
  <w:style w:type="character" w:customStyle="1" w:styleId="ListLabel52">
    <w:name w:val="ListLabel 52"/>
    <w:rsid w:val="0072719D"/>
    <w:rPr>
      <w:rFonts w:cs="Courier New"/>
    </w:rPr>
  </w:style>
  <w:style w:type="character" w:customStyle="1" w:styleId="ListLabel53">
    <w:name w:val="ListLabel 53"/>
    <w:rsid w:val="0072719D"/>
    <w:rPr>
      <w:rFonts w:cs="Courier New"/>
    </w:rPr>
  </w:style>
  <w:style w:type="character" w:customStyle="1" w:styleId="ListLabel54">
    <w:name w:val="ListLabel 54"/>
    <w:rsid w:val="0072719D"/>
    <w:rPr>
      <w:rFonts w:cs="Courier New"/>
    </w:rPr>
  </w:style>
  <w:style w:type="character" w:customStyle="1" w:styleId="ListLabel55">
    <w:name w:val="ListLabel 55"/>
    <w:rsid w:val="0072719D"/>
    <w:rPr>
      <w:rFonts w:cs="Courier New"/>
    </w:rPr>
  </w:style>
  <w:style w:type="character" w:customStyle="1" w:styleId="ListLabel56">
    <w:name w:val="ListLabel 56"/>
    <w:rsid w:val="0072719D"/>
    <w:rPr>
      <w:rFonts w:cs="Courier New"/>
    </w:rPr>
  </w:style>
  <w:style w:type="character" w:customStyle="1" w:styleId="ListLabel57">
    <w:name w:val="ListLabel 57"/>
    <w:rsid w:val="0072719D"/>
    <w:rPr>
      <w:rFonts w:cs="Courier New"/>
    </w:rPr>
  </w:style>
  <w:style w:type="character" w:customStyle="1" w:styleId="ListLabel58">
    <w:name w:val="ListLabel 58"/>
    <w:rsid w:val="0072719D"/>
    <w:rPr>
      <w:rFonts w:ascii="Tahoma" w:eastAsia="Times New Roman" w:hAnsi="Tahoma" w:cs="Tahoma"/>
    </w:rPr>
  </w:style>
  <w:style w:type="character" w:customStyle="1" w:styleId="ListLabel59">
    <w:name w:val="ListLabel 59"/>
    <w:rsid w:val="0072719D"/>
    <w:rPr>
      <w:rFonts w:cs="Courier New"/>
    </w:rPr>
  </w:style>
  <w:style w:type="character" w:customStyle="1" w:styleId="ListLabel60">
    <w:name w:val="ListLabel 60"/>
    <w:rsid w:val="0072719D"/>
    <w:rPr>
      <w:rFonts w:cs="Courier New"/>
    </w:rPr>
  </w:style>
  <w:style w:type="character" w:customStyle="1" w:styleId="ListLabel61">
    <w:name w:val="ListLabel 61"/>
    <w:rsid w:val="0072719D"/>
    <w:rPr>
      <w:rFonts w:cs="Courier New"/>
    </w:rPr>
  </w:style>
  <w:style w:type="character" w:customStyle="1" w:styleId="ListLabel62">
    <w:name w:val="ListLabel 62"/>
    <w:rsid w:val="0072719D"/>
    <w:rPr>
      <w:rFonts w:cs="Courier New"/>
    </w:rPr>
  </w:style>
  <w:style w:type="character" w:customStyle="1" w:styleId="ListLabel63">
    <w:name w:val="ListLabel 63"/>
    <w:rsid w:val="0072719D"/>
    <w:rPr>
      <w:rFonts w:cs="Courier New"/>
    </w:rPr>
  </w:style>
  <w:style w:type="character" w:customStyle="1" w:styleId="ListLabel64">
    <w:name w:val="ListLabel 64"/>
    <w:rsid w:val="0072719D"/>
    <w:rPr>
      <w:rFonts w:cs="Courier New"/>
    </w:rPr>
  </w:style>
  <w:style w:type="character" w:customStyle="1" w:styleId="ListLabel65">
    <w:name w:val="ListLabel 65"/>
    <w:rsid w:val="0072719D"/>
    <w:rPr>
      <w:rFonts w:eastAsia="Calibri" w:cs="Tahoma"/>
    </w:rPr>
  </w:style>
  <w:style w:type="character" w:customStyle="1" w:styleId="ListLabel66">
    <w:name w:val="ListLabel 66"/>
    <w:rsid w:val="0072719D"/>
    <w:rPr>
      <w:rFonts w:cs="Courier New"/>
    </w:rPr>
  </w:style>
  <w:style w:type="character" w:customStyle="1" w:styleId="ListLabel67">
    <w:name w:val="ListLabel 67"/>
    <w:rsid w:val="0072719D"/>
    <w:rPr>
      <w:rFonts w:cs="Courier New"/>
    </w:rPr>
  </w:style>
  <w:style w:type="character" w:customStyle="1" w:styleId="ListLabel68">
    <w:name w:val="ListLabel 68"/>
    <w:rsid w:val="0072719D"/>
    <w:rPr>
      <w:rFonts w:cs="Courier New"/>
    </w:rPr>
  </w:style>
  <w:style w:type="character" w:customStyle="1" w:styleId="ListLabel69">
    <w:name w:val="ListLabel 69"/>
    <w:rsid w:val="0072719D"/>
    <w:rPr>
      <w:rFonts w:cs="Courier New"/>
    </w:rPr>
  </w:style>
  <w:style w:type="character" w:customStyle="1" w:styleId="ListLabel70">
    <w:name w:val="ListLabel 70"/>
    <w:rsid w:val="0072719D"/>
    <w:rPr>
      <w:rFonts w:cs="Courier New"/>
    </w:rPr>
  </w:style>
  <w:style w:type="character" w:customStyle="1" w:styleId="ListLabel71">
    <w:name w:val="ListLabel 71"/>
    <w:rsid w:val="0072719D"/>
    <w:rPr>
      <w:rFonts w:cs="Courier New"/>
    </w:rPr>
  </w:style>
  <w:style w:type="character" w:customStyle="1" w:styleId="ListLabel72">
    <w:name w:val="ListLabel 72"/>
    <w:rsid w:val="0072719D"/>
    <w:rPr>
      <w:rFonts w:cs="Courier New"/>
    </w:rPr>
  </w:style>
  <w:style w:type="character" w:customStyle="1" w:styleId="ListLabel73">
    <w:name w:val="ListLabel 73"/>
    <w:rsid w:val="0072719D"/>
    <w:rPr>
      <w:rFonts w:cs="Courier New"/>
    </w:rPr>
  </w:style>
  <w:style w:type="character" w:customStyle="1" w:styleId="ListLabel74">
    <w:name w:val="ListLabel 74"/>
    <w:rsid w:val="0072719D"/>
    <w:rPr>
      <w:rFonts w:cs="Courier New"/>
    </w:rPr>
  </w:style>
  <w:style w:type="character" w:styleId="Rimandonotaapidipagina">
    <w:name w:val="footnote reference"/>
    <w:rsid w:val="0072719D"/>
    <w:rPr>
      <w:vertAlign w:val="superscript"/>
    </w:rPr>
  </w:style>
  <w:style w:type="character" w:customStyle="1" w:styleId="WW-Caratterinotaapidipagina">
    <w:name w:val="WW-Caratteri nota a piè di pagina"/>
    <w:rsid w:val="0072719D"/>
  </w:style>
  <w:style w:type="character" w:styleId="Rimandonotadichiusura">
    <w:name w:val="endnote reference"/>
    <w:rsid w:val="0072719D"/>
    <w:rPr>
      <w:vertAlign w:val="superscript"/>
    </w:rPr>
  </w:style>
  <w:style w:type="character" w:customStyle="1" w:styleId="Caratterinotadichiusura">
    <w:name w:val="Caratteri nota di chiusura"/>
    <w:rsid w:val="0072719D"/>
  </w:style>
  <w:style w:type="character" w:customStyle="1" w:styleId="WW8Num15z3">
    <w:name w:val="WW8Num15z3"/>
    <w:rsid w:val="0072719D"/>
  </w:style>
  <w:style w:type="character" w:customStyle="1" w:styleId="WW8Num15z4">
    <w:name w:val="WW8Num15z4"/>
    <w:rsid w:val="0072719D"/>
  </w:style>
  <w:style w:type="character" w:customStyle="1" w:styleId="WW8Num15z5">
    <w:name w:val="WW8Num15z5"/>
    <w:rsid w:val="0072719D"/>
  </w:style>
  <w:style w:type="character" w:customStyle="1" w:styleId="WW8Num15z6">
    <w:name w:val="WW8Num15z6"/>
    <w:rsid w:val="0072719D"/>
  </w:style>
  <w:style w:type="character" w:customStyle="1" w:styleId="WW8Num15z7">
    <w:name w:val="WW8Num15z7"/>
    <w:rsid w:val="0072719D"/>
  </w:style>
  <w:style w:type="character" w:customStyle="1" w:styleId="WW8Num15z8">
    <w:name w:val="WW8Num15z8"/>
    <w:rsid w:val="0072719D"/>
  </w:style>
  <w:style w:type="character" w:customStyle="1" w:styleId="WW8Num16z4">
    <w:name w:val="WW8Num16z4"/>
    <w:rsid w:val="0072719D"/>
  </w:style>
  <w:style w:type="character" w:customStyle="1" w:styleId="WW8Num16z5">
    <w:name w:val="WW8Num16z5"/>
    <w:rsid w:val="0072719D"/>
  </w:style>
  <w:style w:type="character" w:customStyle="1" w:styleId="WW8Num16z6">
    <w:name w:val="WW8Num16z6"/>
    <w:rsid w:val="0072719D"/>
  </w:style>
  <w:style w:type="character" w:customStyle="1" w:styleId="WW8Num16z7">
    <w:name w:val="WW8Num16z7"/>
    <w:rsid w:val="0072719D"/>
  </w:style>
  <w:style w:type="character" w:customStyle="1" w:styleId="WW8Num16z8">
    <w:name w:val="WW8Num16z8"/>
    <w:rsid w:val="0072719D"/>
  </w:style>
  <w:style w:type="character" w:customStyle="1" w:styleId="WW8Num17z4">
    <w:name w:val="WW8Num17z4"/>
    <w:rsid w:val="0072719D"/>
  </w:style>
  <w:style w:type="character" w:customStyle="1" w:styleId="WW8Num17z5">
    <w:name w:val="WW8Num17z5"/>
    <w:rsid w:val="0072719D"/>
  </w:style>
  <w:style w:type="character" w:customStyle="1" w:styleId="WW8Num17z6">
    <w:name w:val="WW8Num17z6"/>
    <w:rsid w:val="0072719D"/>
  </w:style>
  <w:style w:type="character" w:customStyle="1" w:styleId="WW8Num17z7">
    <w:name w:val="WW8Num17z7"/>
    <w:rsid w:val="0072719D"/>
  </w:style>
  <w:style w:type="character" w:customStyle="1" w:styleId="WW8Num17z8">
    <w:name w:val="WW8Num17z8"/>
    <w:rsid w:val="0072719D"/>
  </w:style>
  <w:style w:type="character" w:customStyle="1" w:styleId="WW8Num20z4">
    <w:name w:val="WW8Num20z4"/>
    <w:rsid w:val="0072719D"/>
  </w:style>
  <w:style w:type="character" w:customStyle="1" w:styleId="WW8Num20z5">
    <w:name w:val="WW8Num20z5"/>
    <w:rsid w:val="0072719D"/>
  </w:style>
  <w:style w:type="character" w:customStyle="1" w:styleId="WW8Num20z6">
    <w:name w:val="WW8Num20z6"/>
    <w:rsid w:val="0072719D"/>
  </w:style>
  <w:style w:type="character" w:customStyle="1" w:styleId="WW8Num20z7">
    <w:name w:val="WW8Num20z7"/>
    <w:rsid w:val="0072719D"/>
  </w:style>
  <w:style w:type="character" w:customStyle="1" w:styleId="WW8Num20z8">
    <w:name w:val="WW8Num20z8"/>
    <w:rsid w:val="0072719D"/>
  </w:style>
  <w:style w:type="character" w:styleId="Collegamentoipertestuale">
    <w:name w:val="Hyperlink"/>
    <w:rsid w:val="0072719D"/>
    <w:rPr>
      <w:color w:val="0000FF"/>
      <w:u w:val="single"/>
    </w:rPr>
  </w:style>
  <w:style w:type="character" w:styleId="Collegamentovisitato">
    <w:name w:val="FollowedHyperlink"/>
    <w:rsid w:val="0072719D"/>
    <w:rPr>
      <w:color w:val="800080"/>
      <w:u w:val="single"/>
    </w:rPr>
  </w:style>
  <w:style w:type="character" w:customStyle="1" w:styleId="Titolo1Carattere">
    <w:name w:val="Titolo 1 Carattere"/>
    <w:rsid w:val="0072719D"/>
    <w:rPr>
      <w:rFonts w:ascii="Cambria" w:eastAsia="Times New Roman" w:hAnsi="Cambria" w:cs="Times New Roman"/>
      <w:b/>
      <w:bCs/>
      <w:color w:val="365F91"/>
      <w:sz w:val="28"/>
      <w:szCs w:val="28"/>
    </w:rPr>
  </w:style>
  <w:style w:type="character" w:customStyle="1" w:styleId="Titolo2Carattere">
    <w:name w:val="Titolo 2 Carattere"/>
    <w:rsid w:val="0072719D"/>
    <w:rPr>
      <w:rFonts w:ascii="Cambria" w:eastAsia="Times New Roman" w:hAnsi="Cambria" w:cs="Times New Roman"/>
      <w:b/>
      <w:bCs/>
      <w:color w:val="4F81BD"/>
      <w:sz w:val="26"/>
      <w:szCs w:val="26"/>
    </w:rPr>
  </w:style>
  <w:style w:type="character" w:customStyle="1" w:styleId="Titolo3Carattere">
    <w:name w:val="Titolo 3 Carattere"/>
    <w:rsid w:val="0072719D"/>
    <w:rPr>
      <w:rFonts w:ascii="Cambria" w:eastAsia="Times New Roman" w:hAnsi="Cambria" w:cs="Times New Roman"/>
      <w:b/>
      <w:bCs/>
      <w:color w:val="4F81BD"/>
    </w:rPr>
  </w:style>
  <w:style w:type="character" w:customStyle="1" w:styleId="IntestazioneCarattere">
    <w:name w:val="Intestazione Carattere"/>
    <w:uiPriority w:val="99"/>
    <w:rsid w:val="0072719D"/>
    <w:rPr>
      <w:rFonts w:ascii="Calibri" w:eastAsia="Times New Roman" w:hAnsi="Calibri" w:cs="Times New Roman"/>
    </w:rPr>
  </w:style>
  <w:style w:type="character" w:customStyle="1" w:styleId="PidipaginaCarattere">
    <w:name w:val="Piè di pagina Carattere"/>
    <w:uiPriority w:val="99"/>
    <w:rsid w:val="0072719D"/>
    <w:rPr>
      <w:rFonts w:ascii="Calibri" w:eastAsia="Times New Roman" w:hAnsi="Calibri" w:cs="Times New Roman"/>
    </w:rPr>
  </w:style>
  <w:style w:type="character" w:customStyle="1" w:styleId="TitoloCarattere">
    <w:name w:val="Titolo Carattere"/>
    <w:rsid w:val="0072719D"/>
    <w:rPr>
      <w:rFonts w:ascii="Liberation Sans" w:eastAsia="Microsoft YaHei" w:hAnsi="Liberation Sans" w:cs="Mangal"/>
      <w:sz w:val="28"/>
      <w:szCs w:val="28"/>
    </w:rPr>
  </w:style>
  <w:style w:type="paragraph" w:customStyle="1" w:styleId="Titolo10">
    <w:name w:val="Titolo1"/>
    <w:basedOn w:val="Normale"/>
    <w:next w:val="Corpotesto"/>
    <w:rsid w:val="0072719D"/>
    <w:pPr>
      <w:keepNext/>
      <w:spacing w:before="240" w:after="120"/>
    </w:pPr>
    <w:rPr>
      <w:rFonts w:ascii="Liberation Sans" w:eastAsia="Microsoft YaHei" w:hAnsi="Liberation Sans" w:cs="Liberation Sans"/>
      <w:sz w:val="28"/>
      <w:szCs w:val="28"/>
    </w:rPr>
  </w:style>
  <w:style w:type="paragraph" w:customStyle="1" w:styleId="Corpotesto">
    <w:name w:val="Corpo testo"/>
    <w:basedOn w:val="Normale"/>
    <w:rsid w:val="0072719D"/>
    <w:pPr>
      <w:spacing w:after="140" w:line="288" w:lineRule="auto"/>
    </w:pPr>
  </w:style>
  <w:style w:type="paragraph" w:styleId="Elenco">
    <w:name w:val="List"/>
    <w:basedOn w:val="Corpotesto"/>
    <w:rsid w:val="0072719D"/>
    <w:rPr>
      <w:rFonts w:cs="Mangal"/>
    </w:rPr>
  </w:style>
  <w:style w:type="paragraph" w:styleId="Didascalia">
    <w:name w:val="caption"/>
    <w:basedOn w:val="Normale"/>
    <w:qFormat/>
    <w:rsid w:val="0072719D"/>
    <w:pPr>
      <w:suppressLineNumbers/>
      <w:spacing w:before="120" w:after="120"/>
    </w:pPr>
    <w:rPr>
      <w:rFonts w:cs="Mangal"/>
      <w:i/>
      <w:iCs/>
      <w:sz w:val="24"/>
      <w:szCs w:val="24"/>
    </w:rPr>
  </w:style>
  <w:style w:type="paragraph" w:customStyle="1" w:styleId="Indice">
    <w:name w:val="Indice"/>
    <w:basedOn w:val="Normale"/>
    <w:rsid w:val="0072719D"/>
    <w:pPr>
      <w:suppressLineNumbers/>
    </w:pPr>
    <w:rPr>
      <w:rFonts w:cs="Mangal"/>
    </w:rPr>
  </w:style>
  <w:style w:type="paragraph" w:customStyle="1" w:styleId="Caption">
    <w:name w:val="Caption"/>
    <w:basedOn w:val="Normale"/>
    <w:rsid w:val="0072719D"/>
    <w:pPr>
      <w:suppressLineNumbers/>
      <w:spacing w:before="120" w:after="120"/>
    </w:pPr>
    <w:rPr>
      <w:rFonts w:cs="Mangal"/>
      <w:i/>
      <w:iCs/>
      <w:sz w:val="24"/>
      <w:szCs w:val="24"/>
    </w:rPr>
  </w:style>
  <w:style w:type="paragraph" w:styleId="Testofumetto">
    <w:name w:val="Balloon Text"/>
    <w:basedOn w:val="Normale"/>
    <w:rsid w:val="0072719D"/>
    <w:pPr>
      <w:spacing w:after="0" w:line="240" w:lineRule="auto"/>
    </w:pPr>
    <w:rPr>
      <w:rFonts w:ascii="Tahoma" w:hAnsi="Tahoma" w:cs="Tahoma"/>
      <w:sz w:val="16"/>
      <w:szCs w:val="16"/>
    </w:rPr>
  </w:style>
  <w:style w:type="paragraph" w:styleId="Paragrafoelenco">
    <w:name w:val="List Paragraph"/>
    <w:basedOn w:val="Normale"/>
    <w:qFormat/>
    <w:rsid w:val="0072719D"/>
    <w:pPr>
      <w:ind w:left="720"/>
      <w:contextualSpacing/>
    </w:pPr>
  </w:style>
  <w:style w:type="paragraph" w:styleId="Testonotaapidipagina">
    <w:name w:val="footnote text"/>
    <w:basedOn w:val="Normale"/>
    <w:rsid w:val="0072719D"/>
    <w:pPr>
      <w:spacing w:after="0" w:line="240" w:lineRule="auto"/>
    </w:pPr>
    <w:rPr>
      <w:rFonts w:ascii="Cambria" w:eastAsia="MS ??" w:hAnsi="Cambria"/>
      <w:sz w:val="20"/>
      <w:szCs w:val="20"/>
    </w:rPr>
  </w:style>
  <w:style w:type="paragraph" w:customStyle="1" w:styleId="Default">
    <w:name w:val="Default"/>
    <w:rsid w:val="0072719D"/>
    <w:pPr>
      <w:suppressAutoHyphens/>
    </w:pPr>
    <w:rPr>
      <w:rFonts w:ascii="Calibri" w:eastAsia="Calibri" w:hAnsi="Calibri" w:cs="Calibri"/>
      <w:color w:val="000000"/>
      <w:sz w:val="24"/>
      <w:szCs w:val="24"/>
      <w:lang w:eastAsia="zh-CN"/>
    </w:rPr>
  </w:style>
  <w:style w:type="paragraph" w:customStyle="1" w:styleId="FootnoteText">
    <w:name w:val="Footnote Text"/>
    <w:basedOn w:val="Normale"/>
    <w:rsid w:val="0072719D"/>
  </w:style>
  <w:style w:type="paragraph" w:customStyle="1" w:styleId="Contenutotabella">
    <w:name w:val="Contenuto tabella"/>
    <w:basedOn w:val="Normale"/>
    <w:rsid w:val="0072719D"/>
  </w:style>
  <w:style w:type="paragraph" w:customStyle="1" w:styleId="Titolotabella">
    <w:name w:val="Titolo tabella"/>
    <w:basedOn w:val="Contenutotabella"/>
    <w:rsid w:val="0072719D"/>
  </w:style>
  <w:style w:type="paragraph" w:customStyle="1" w:styleId="font5">
    <w:name w:val="font5"/>
    <w:basedOn w:val="Normale"/>
    <w:rsid w:val="0072719D"/>
    <w:pPr>
      <w:spacing w:before="280" w:after="280" w:line="240" w:lineRule="auto"/>
    </w:pPr>
    <w:rPr>
      <w:rFonts w:ascii="Tahoma" w:eastAsia="Times New Roman" w:hAnsi="Tahoma" w:cs="Tahoma"/>
      <w:b/>
      <w:bCs/>
      <w:color w:val="000000"/>
      <w:sz w:val="20"/>
      <w:szCs w:val="20"/>
    </w:rPr>
  </w:style>
  <w:style w:type="paragraph" w:customStyle="1" w:styleId="font6">
    <w:name w:val="font6"/>
    <w:basedOn w:val="Normale"/>
    <w:rsid w:val="0072719D"/>
    <w:pPr>
      <w:spacing w:before="280" w:after="280" w:line="240" w:lineRule="auto"/>
    </w:pPr>
    <w:rPr>
      <w:rFonts w:ascii="Tahoma" w:eastAsia="Times New Roman" w:hAnsi="Tahoma" w:cs="Tahoma"/>
      <w:i/>
      <w:iCs/>
      <w:color w:val="000000"/>
      <w:sz w:val="20"/>
      <w:szCs w:val="20"/>
    </w:rPr>
  </w:style>
  <w:style w:type="paragraph" w:customStyle="1" w:styleId="xl65">
    <w:name w:val="xl65"/>
    <w:basedOn w:val="Normale"/>
    <w:rsid w:val="0072719D"/>
    <w:pPr>
      <w:spacing w:before="280" w:after="280" w:line="240" w:lineRule="auto"/>
      <w:textAlignment w:val="top"/>
    </w:pPr>
    <w:rPr>
      <w:rFonts w:ascii="Tahoma" w:eastAsia="Times New Roman" w:hAnsi="Tahoma" w:cs="Tahoma"/>
      <w:sz w:val="20"/>
      <w:szCs w:val="20"/>
    </w:rPr>
  </w:style>
  <w:style w:type="paragraph" w:customStyle="1" w:styleId="xl66">
    <w:name w:val="xl66"/>
    <w:basedOn w:val="Normale"/>
    <w:rsid w:val="0072719D"/>
    <w:pPr>
      <w:pBdr>
        <w:top w:val="none" w:sz="0" w:space="0" w:color="000000"/>
        <w:left w:val="single" w:sz="4" w:space="0" w:color="000000"/>
        <w:bottom w:val="none" w:sz="0" w:space="0" w:color="000000"/>
        <w:right w:val="single" w:sz="4" w:space="0" w:color="000000"/>
      </w:pBdr>
      <w:shd w:val="clear" w:color="auto" w:fill="FFFFFF"/>
      <w:spacing w:before="280" w:after="280" w:line="240" w:lineRule="auto"/>
      <w:textAlignment w:val="top"/>
    </w:pPr>
    <w:rPr>
      <w:rFonts w:ascii="Tahoma" w:eastAsia="Times New Roman" w:hAnsi="Tahoma" w:cs="Tahoma"/>
      <w:sz w:val="20"/>
      <w:szCs w:val="20"/>
    </w:rPr>
  </w:style>
  <w:style w:type="paragraph" w:customStyle="1" w:styleId="xl67">
    <w:name w:val="xl67"/>
    <w:basedOn w:val="Normale"/>
    <w:rsid w:val="0072719D"/>
    <w:pPr>
      <w:pBdr>
        <w:top w:val="none" w:sz="0" w:space="0" w:color="000000"/>
        <w:left w:val="single" w:sz="4" w:space="0" w:color="000000"/>
        <w:bottom w:val="none" w:sz="0" w:space="0" w:color="000000"/>
        <w:right w:val="single" w:sz="4" w:space="0" w:color="000000"/>
      </w:pBdr>
      <w:shd w:val="clear" w:color="auto" w:fill="FFFFFF"/>
      <w:spacing w:before="280" w:after="280" w:line="240" w:lineRule="auto"/>
      <w:textAlignment w:val="top"/>
    </w:pPr>
    <w:rPr>
      <w:rFonts w:ascii="Tahoma" w:eastAsia="Times New Roman" w:hAnsi="Tahoma" w:cs="Tahoma"/>
      <w:b/>
      <w:bCs/>
      <w:i/>
      <w:iCs/>
      <w:sz w:val="20"/>
      <w:szCs w:val="20"/>
    </w:rPr>
  </w:style>
  <w:style w:type="paragraph" w:customStyle="1" w:styleId="xl68">
    <w:name w:val="xl68"/>
    <w:basedOn w:val="Normale"/>
    <w:rsid w:val="0072719D"/>
    <w:pPr>
      <w:pBdr>
        <w:top w:val="none" w:sz="0" w:space="0" w:color="000000"/>
        <w:left w:val="single" w:sz="4" w:space="0" w:color="000000"/>
        <w:bottom w:val="single" w:sz="4" w:space="0" w:color="000000"/>
        <w:right w:val="single" w:sz="4" w:space="0" w:color="000000"/>
      </w:pBdr>
      <w:shd w:val="clear" w:color="auto" w:fill="FFFFFF"/>
      <w:spacing w:before="280" w:after="280" w:line="240" w:lineRule="auto"/>
      <w:textAlignment w:val="top"/>
    </w:pPr>
    <w:rPr>
      <w:rFonts w:ascii="Tahoma" w:eastAsia="Times New Roman" w:hAnsi="Tahoma" w:cs="Tahoma"/>
      <w:sz w:val="20"/>
      <w:szCs w:val="20"/>
    </w:rPr>
  </w:style>
  <w:style w:type="paragraph" w:customStyle="1" w:styleId="xl69">
    <w:name w:val="xl69"/>
    <w:basedOn w:val="Normale"/>
    <w:rsid w:val="0072719D"/>
    <w:pPr>
      <w:pBdr>
        <w:top w:val="none" w:sz="0" w:space="0" w:color="000000"/>
        <w:left w:val="single" w:sz="4" w:space="0" w:color="000000"/>
        <w:bottom w:val="none" w:sz="0" w:space="0" w:color="000000"/>
        <w:right w:val="single" w:sz="4" w:space="0" w:color="000000"/>
      </w:pBdr>
      <w:shd w:val="clear" w:color="auto" w:fill="FFFFFF"/>
      <w:spacing w:before="280" w:after="280" w:line="240" w:lineRule="auto"/>
      <w:textAlignment w:val="top"/>
    </w:pPr>
    <w:rPr>
      <w:rFonts w:ascii="Tahoma" w:eastAsia="Times New Roman" w:hAnsi="Tahoma" w:cs="Tahoma"/>
      <w:i/>
      <w:iCs/>
      <w:sz w:val="20"/>
      <w:szCs w:val="20"/>
    </w:rPr>
  </w:style>
  <w:style w:type="paragraph" w:customStyle="1" w:styleId="xl70">
    <w:name w:val="xl70"/>
    <w:basedOn w:val="Normale"/>
    <w:rsid w:val="0072719D"/>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textAlignment w:val="top"/>
    </w:pPr>
    <w:rPr>
      <w:rFonts w:ascii="Tahoma" w:eastAsia="Times New Roman" w:hAnsi="Tahoma" w:cs="Tahoma"/>
      <w:sz w:val="20"/>
      <w:szCs w:val="20"/>
    </w:rPr>
  </w:style>
  <w:style w:type="paragraph" w:customStyle="1" w:styleId="xl71">
    <w:name w:val="xl71"/>
    <w:basedOn w:val="Normale"/>
    <w:rsid w:val="0072719D"/>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textAlignment w:val="top"/>
    </w:pPr>
    <w:rPr>
      <w:rFonts w:ascii="Tahoma" w:eastAsia="Times New Roman" w:hAnsi="Tahoma" w:cs="Tahoma"/>
      <w:sz w:val="20"/>
      <w:szCs w:val="20"/>
    </w:rPr>
  </w:style>
  <w:style w:type="paragraph" w:customStyle="1" w:styleId="xl72">
    <w:name w:val="xl72"/>
    <w:basedOn w:val="Normale"/>
    <w:rsid w:val="0072719D"/>
    <w:pPr>
      <w:pBdr>
        <w:top w:val="single" w:sz="4" w:space="0" w:color="000000"/>
        <w:left w:val="single" w:sz="4" w:space="0" w:color="000000"/>
        <w:bottom w:val="none" w:sz="0" w:space="0" w:color="000000"/>
        <w:right w:val="single" w:sz="4" w:space="0" w:color="000000"/>
      </w:pBdr>
      <w:shd w:val="clear" w:color="auto" w:fill="FFFFFF"/>
      <w:spacing w:before="280" w:after="280" w:line="240" w:lineRule="auto"/>
      <w:textAlignment w:val="top"/>
    </w:pPr>
    <w:rPr>
      <w:rFonts w:ascii="Tahoma" w:eastAsia="Times New Roman" w:hAnsi="Tahoma" w:cs="Tahoma"/>
      <w:sz w:val="20"/>
      <w:szCs w:val="20"/>
    </w:rPr>
  </w:style>
  <w:style w:type="paragraph" w:customStyle="1" w:styleId="xl73">
    <w:name w:val="xl73"/>
    <w:basedOn w:val="Normale"/>
    <w:rsid w:val="0072719D"/>
    <w:pPr>
      <w:pBdr>
        <w:top w:val="single" w:sz="4" w:space="0" w:color="000000"/>
        <w:left w:val="single" w:sz="4" w:space="0" w:color="000000"/>
        <w:bottom w:val="none" w:sz="0" w:space="0" w:color="000000"/>
        <w:right w:val="single" w:sz="4" w:space="0" w:color="000000"/>
      </w:pBdr>
      <w:shd w:val="clear" w:color="auto" w:fill="FFFFFF"/>
      <w:spacing w:before="280" w:after="280" w:line="240" w:lineRule="auto"/>
      <w:textAlignment w:val="top"/>
    </w:pPr>
    <w:rPr>
      <w:rFonts w:ascii="Tahoma" w:eastAsia="Times New Roman" w:hAnsi="Tahoma" w:cs="Tahoma"/>
      <w:b/>
      <w:bCs/>
      <w:sz w:val="20"/>
      <w:szCs w:val="20"/>
    </w:rPr>
  </w:style>
  <w:style w:type="paragraph" w:customStyle="1" w:styleId="xl74">
    <w:name w:val="xl74"/>
    <w:basedOn w:val="Normale"/>
    <w:rsid w:val="0072719D"/>
    <w:pPr>
      <w:pBdr>
        <w:top w:val="single" w:sz="4" w:space="0" w:color="000000"/>
        <w:left w:val="single" w:sz="4" w:space="0" w:color="000000"/>
        <w:bottom w:val="none" w:sz="0" w:space="0" w:color="000000"/>
        <w:right w:val="single" w:sz="4" w:space="0" w:color="000000"/>
      </w:pBdr>
      <w:shd w:val="clear" w:color="auto" w:fill="FFFFFF"/>
      <w:spacing w:before="280" w:after="280" w:line="240" w:lineRule="auto"/>
      <w:textAlignment w:val="top"/>
    </w:pPr>
    <w:rPr>
      <w:rFonts w:ascii="Tahoma" w:eastAsia="Times New Roman" w:hAnsi="Tahoma" w:cs="Tahoma"/>
      <w:b/>
      <w:bCs/>
      <w:i/>
      <w:iCs/>
      <w:sz w:val="20"/>
      <w:szCs w:val="20"/>
    </w:rPr>
  </w:style>
  <w:style w:type="paragraph" w:customStyle="1" w:styleId="xl75">
    <w:name w:val="xl75"/>
    <w:basedOn w:val="Normale"/>
    <w:rsid w:val="0072719D"/>
    <w:pPr>
      <w:pBdr>
        <w:top w:val="none" w:sz="0" w:space="0" w:color="000000"/>
        <w:left w:val="single" w:sz="4" w:space="0" w:color="000000"/>
        <w:bottom w:val="none" w:sz="0" w:space="0" w:color="000000"/>
        <w:right w:val="single" w:sz="4" w:space="0" w:color="000000"/>
      </w:pBdr>
      <w:shd w:val="clear" w:color="auto" w:fill="FFFFFF"/>
      <w:spacing w:before="280" w:after="280" w:line="240" w:lineRule="auto"/>
      <w:jc w:val="center"/>
      <w:textAlignment w:val="top"/>
    </w:pPr>
    <w:rPr>
      <w:rFonts w:ascii="Tahoma" w:eastAsia="Times New Roman" w:hAnsi="Tahoma" w:cs="Tahoma"/>
      <w:b/>
      <w:bCs/>
      <w:sz w:val="20"/>
      <w:szCs w:val="20"/>
    </w:rPr>
  </w:style>
  <w:style w:type="paragraph" w:customStyle="1" w:styleId="xl76">
    <w:name w:val="xl76"/>
    <w:basedOn w:val="Normale"/>
    <w:rsid w:val="0072719D"/>
    <w:pPr>
      <w:pBdr>
        <w:top w:val="single" w:sz="4" w:space="0" w:color="000000"/>
        <w:left w:val="none" w:sz="0" w:space="0" w:color="000000"/>
        <w:bottom w:val="none" w:sz="0" w:space="0" w:color="000000"/>
        <w:right w:val="none" w:sz="0" w:space="0" w:color="000000"/>
      </w:pBdr>
      <w:shd w:val="clear" w:color="auto" w:fill="FFFFFF"/>
      <w:spacing w:before="280" w:after="280" w:line="240" w:lineRule="auto"/>
      <w:jc w:val="center"/>
      <w:textAlignment w:val="top"/>
    </w:pPr>
    <w:rPr>
      <w:rFonts w:ascii="Tahoma" w:eastAsia="Times New Roman" w:hAnsi="Tahoma" w:cs="Tahoma"/>
      <w:b/>
      <w:bCs/>
      <w:sz w:val="20"/>
      <w:szCs w:val="20"/>
    </w:rPr>
  </w:style>
  <w:style w:type="paragraph" w:customStyle="1" w:styleId="xl77">
    <w:name w:val="xl77"/>
    <w:basedOn w:val="Normale"/>
    <w:rsid w:val="0072719D"/>
    <w:pPr>
      <w:pBdr>
        <w:top w:val="single" w:sz="4" w:space="0" w:color="000000"/>
        <w:left w:val="single" w:sz="4" w:space="0" w:color="000000"/>
        <w:bottom w:val="none" w:sz="0" w:space="0" w:color="000000"/>
        <w:right w:val="none" w:sz="0" w:space="0" w:color="000000"/>
      </w:pBdr>
      <w:shd w:val="clear" w:color="auto" w:fill="FFFFFF"/>
      <w:spacing w:before="280" w:after="280" w:line="240" w:lineRule="auto"/>
      <w:textAlignment w:val="top"/>
    </w:pPr>
    <w:rPr>
      <w:rFonts w:ascii="Tahoma" w:eastAsia="Times New Roman" w:hAnsi="Tahoma" w:cs="Tahoma"/>
      <w:sz w:val="20"/>
      <w:szCs w:val="20"/>
    </w:rPr>
  </w:style>
  <w:style w:type="paragraph" w:customStyle="1" w:styleId="xl78">
    <w:name w:val="xl78"/>
    <w:basedOn w:val="Normale"/>
    <w:rsid w:val="0072719D"/>
    <w:pPr>
      <w:pBdr>
        <w:top w:val="single" w:sz="4" w:space="0" w:color="000000"/>
        <w:left w:val="none" w:sz="0" w:space="0" w:color="000000"/>
        <w:bottom w:val="none" w:sz="0" w:space="0" w:color="000000"/>
        <w:right w:val="single" w:sz="4" w:space="0" w:color="000000"/>
      </w:pBdr>
      <w:shd w:val="clear" w:color="auto" w:fill="FFFFFF"/>
      <w:spacing w:before="280" w:after="280" w:line="240" w:lineRule="auto"/>
      <w:textAlignment w:val="top"/>
    </w:pPr>
    <w:rPr>
      <w:rFonts w:ascii="Tahoma" w:eastAsia="Times New Roman" w:hAnsi="Tahoma" w:cs="Tahoma"/>
      <w:sz w:val="20"/>
      <w:szCs w:val="20"/>
    </w:rPr>
  </w:style>
  <w:style w:type="paragraph" w:customStyle="1" w:styleId="xl79">
    <w:name w:val="xl79"/>
    <w:basedOn w:val="Normale"/>
    <w:rsid w:val="0072719D"/>
    <w:pPr>
      <w:shd w:val="clear" w:color="auto" w:fill="FFFFFF"/>
      <w:spacing w:before="280" w:after="280" w:line="240" w:lineRule="auto"/>
      <w:textAlignment w:val="top"/>
    </w:pPr>
    <w:rPr>
      <w:rFonts w:ascii="Tahoma" w:eastAsia="Times New Roman" w:hAnsi="Tahoma" w:cs="Tahoma"/>
      <w:sz w:val="20"/>
      <w:szCs w:val="20"/>
    </w:rPr>
  </w:style>
  <w:style w:type="paragraph" w:customStyle="1" w:styleId="xl80">
    <w:name w:val="xl80"/>
    <w:basedOn w:val="Normale"/>
    <w:rsid w:val="0072719D"/>
    <w:pPr>
      <w:pBdr>
        <w:top w:val="single" w:sz="4" w:space="0" w:color="000000"/>
        <w:left w:val="none" w:sz="0" w:space="0" w:color="000000"/>
        <w:bottom w:val="none" w:sz="0" w:space="0" w:color="000000"/>
        <w:right w:val="single" w:sz="4" w:space="0" w:color="000000"/>
      </w:pBdr>
      <w:shd w:val="clear" w:color="auto" w:fill="FFFFFF"/>
      <w:spacing w:before="280" w:after="280" w:line="240" w:lineRule="auto"/>
      <w:textAlignment w:val="top"/>
    </w:pPr>
    <w:rPr>
      <w:rFonts w:ascii="Tahoma" w:eastAsia="Times New Roman" w:hAnsi="Tahoma" w:cs="Tahoma"/>
      <w:b/>
      <w:bCs/>
      <w:sz w:val="20"/>
      <w:szCs w:val="20"/>
    </w:rPr>
  </w:style>
  <w:style w:type="paragraph" w:customStyle="1" w:styleId="xl81">
    <w:name w:val="xl81"/>
    <w:basedOn w:val="Normale"/>
    <w:rsid w:val="0072719D"/>
    <w:pPr>
      <w:pBdr>
        <w:top w:val="none" w:sz="0" w:space="0" w:color="000000"/>
        <w:left w:val="none" w:sz="0" w:space="0" w:color="000000"/>
        <w:bottom w:val="none" w:sz="0" w:space="0" w:color="000000"/>
        <w:right w:val="single" w:sz="4" w:space="0" w:color="000000"/>
      </w:pBdr>
      <w:shd w:val="clear" w:color="auto" w:fill="FFFFFF"/>
      <w:spacing w:before="280" w:after="280" w:line="240" w:lineRule="auto"/>
      <w:textAlignment w:val="top"/>
    </w:pPr>
    <w:rPr>
      <w:rFonts w:ascii="Tahoma" w:eastAsia="Times New Roman" w:hAnsi="Tahoma" w:cs="Tahoma"/>
      <w:sz w:val="20"/>
      <w:szCs w:val="20"/>
    </w:rPr>
  </w:style>
  <w:style w:type="paragraph" w:customStyle="1" w:styleId="xl82">
    <w:name w:val="xl82"/>
    <w:basedOn w:val="Normale"/>
    <w:rsid w:val="0072719D"/>
    <w:pPr>
      <w:pBdr>
        <w:top w:val="none" w:sz="0" w:space="0" w:color="000000"/>
        <w:left w:val="none" w:sz="0" w:space="0" w:color="000000"/>
        <w:bottom w:val="single" w:sz="4" w:space="0" w:color="000000"/>
        <w:right w:val="single" w:sz="4" w:space="0" w:color="000000"/>
      </w:pBdr>
      <w:shd w:val="clear" w:color="auto" w:fill="FFFFFF"/>
      <w:spacing w:before="280" w:after="280" w:line="240" w:lineRule="auto"/>
      <w:textAlignment w:val="top"/>
    </w:pPr>
    <w:rPr>
      <w:rFonts w:ascii="Tahoma" w:eastAsia="Times New Roman" w:hAnsi="Tahoma" w:cs="Tahoma"/>
      <w:sz w:val="20"/>
      <w:szCs w:val="20"/>
    </w:rPr>
  </w:style>
  <w:style w:type="paragraph" w:customStyle="1" w:styleId="xl83">
    <w:name w:val="xl83"/>
    <w:basedOn w:val="Normale"/>
    <w:rsid w:val="0072719D"/>
    <w:pPr>
      <w:shd w:val="clear" w:color="auto" w:fill="FFFFFF"/>
      <w:spacing w:before="280" w:after="280" w:line="240" w:lineRule="auto"/>
      <w:jc w:val="center"/>
      <w:textAlignment w:val="top"/>
    </w:pPr>
    <w:rPr>
      <w:rFonts w:ascii="Tahoma" w:eastAsia="Times New Roman" w:hAnsi="Tahoma" w:cs="Tahoma"/>
      <w:b/>
      <w:bCs/>
      <w:sz w:val="20"/>
      <w:szCs w:val="20"/>
    </w:rPr>
  </w:style>
  <w:style w:type="paragraph" w:customStyle="1" w:styleId="xl84">
    <w:name w:val="xl84"/>
    <w:basedOn w:val="Normale"/>
    <w:rsid w:val="0072719D"/>
    <w:pPr>
      <w:pBdr>
        <w:top w:val="single" w:sz="4" w:space="0" w:color="000000"/>
        <w:left w:val="none" w:sz="0" w:space="0" w:color="000000"/>
        <w:bottom w:val="none" w:sz="0" w:space="0" w:color="000000"/>
        <w:right w:val="single" w:sz="4" w:space="0" w:color="000000"/>
      </w:pBdr>
      <w:shd w:val="clear" w:color="auto" w:fill="FFFFFF"/>
      <w:spacing w:before="280" w:after="280" w:line="240" w:lineRule="auto"/>
      <w:jc w:val="center"/>
      <w:textAlignment w:val="top"/>
    </w:pPr>
    <w:rPr>
      <w:rFonts w:ascii="Tahoma" w:eastAsia="Times New Roman" w:hAnsi="Tahoma" w:cs="Tahoma"/>
      <w:b/>
      <w:bCs/>
      <w:sz w:val="20"/>
      <w:szCs w:val="20"/>
    </w:rPr>
  </w:style>
  <w:style w:type="paragraph" w:customStyle="1" w:styleId="xl85">
    <w:name w:val="xl85"/>
    <w:basedOn w:val="Normale"/>
    <w:rsid w:val="0072719D"/>
    <w:pPr>
      <w:pBdr>
        <w:top w:val="none" w:sz="0" w:space="0" w:color="000000"/>
        <w:left w:val="none" w:sz="0" w:space="0" w:color="000000"/>
        <w:bottom w:val="none" w:sz="0" w:space="0" w:color="000000"/>
        <w:right w:val="single" w:sz="4" w:space="0" w:color="000000"/>
      </w:pBdr>
      <w:shd w:val="clear" w:color="auto" w:fill="FFFFFF"/>
      <w:spacing w:before="280" w:after="280" w:line="240" w:lineRule="auto"/>
      <w:jc w:val="center"/>
      <w:textAlignment w:val="top"/>
    </w:pPr>
    <w:rPr>
      <w:rFonts w:ascii="Tahoma" w:eastAsia="Times New Roman" w:hAnsi="Tahoma" w:cs="Tahoma"/>
      <w:b/>
      <w:bCs/>
      <w:sz w:val="20"/>
      <w:szCs w:val="20"/>
    </w:rPr>
  </w:style>
  <w:style w:type="paragraph" w:customStyle="1" w:styleId="xl86">
    <w:name w:val="xl86"/>
    <w:basedOn w:val="Normale"/>
    <w:rsid w:val="0072719D"/>
    <w:pPr>
      <w:pBdr>
        <w:top w:val="none" w:sz="0" w:space="0" w:color="000000"/>
        <w:left w:val="none" w:sz="0" w:space="0" w:color="000000"/>
        <w:bottom w:val="single" w:sz="4" w:space="0" w:color="000000"/>
        <w:right w:val="single" w:sz="4" w:space="0" w:color="000000"/>
      </w:pBdr>
      <w:shd w:val="clear" w:color="auto" w:fill="FFFFFF"/>
      <w:spacing w:before="280" w:after="280" w:line="240" w:lineRule="auto"/>
      <w:jc w:val="center"/>
      <w:textAlignment w:val="top"/>
    </w:pPr>
    <w:rPr>
      <w:rFonts w:ascii="Tahoma" w:eastAsia="Times New Roman" w:hAnsi="Tahoma" w:cs="Tahoma"/>
      <w:b/>
      <w:bCs/>
      <w:sz w:val="20"/>
      <w:szCs w:val="20"/>
    </w:rPr>
  </w:style>
  <w:style w:type="paragraph" w:customStyle="1" w:styleId="xl87">
    <w:name w:val="xl87"/>
    <w:basedOn w:val="Normale"/>
    <w:rsid w:val="0072719D"/>
    <w:pPr>
      <w:pBdr>
        <w:top w:val="none" w:sz="0" w:space="0" w:color="000000"/>
        <w:left w:val="single" w:sz="4" w:space="0" w:color="000000"/>
        <w:bottom w:val="none" w:sz="0" w:space="0" w:color="000000"/>
        <w:right w:val="none" w:sz="0" w:space="0" w:color="000000"/>
      </w:pBdr>
      <w:shd w:val="clear" w:color="auto" w:fill="FFFFFF"/>
      <w:spacing w:before="280" w:after="280" w:line="240" w:lineRule="auto"/>
      <w:textAlignment w:val="top"/>
    </w:pPr>
    <w:rPr>
      <w:rFonts w:ascii="Tahoma" w:eastAsia="Times New Roman" w:hAnsi="Tahoma" w:cs="Tahoma"/>
      <w:sz w:val="20"/>
      <w:szCs w:val="20"/>
    </w:rPr>
  </w:style>
  <w:style w:type="paragraph" w:customStyle="1" w:styleId="xl88">
    <w:name w:val="xl88"/>
    <w:basedOn w:val="Normale"/>
    <w:rsid w:val="0072719D"/>
    <w:pPr>
      <w:pBdr>
        <w:top w:val="none" w:sz="0" w:space="0" w:color="000000"/>
        <w:left w:val="single" w:sz="4" w:space="0" w:color="000000"/>
        <w:bottom w:val="single" w:sz="4" w:space="0" w:color="000000"/>
        <w:right w:val="none" w:sz="0" w:space="0" w:color="000000"/>
      </w:pBdr>
      <w:shd w:val="clear" w:color="auto" w:fill="FFFFFF"/>
      <w:spacing w:before="280" w:after="280" w:line="240" w:lineRule="auto"/>
      <w:textAlignment w:val="top"/>
    </w:pPr>
    <w:rPr>
      <w:rFonts w:ascii="Tahoma" w:eastAsia="Times New Roman" w:hAnsi="Tahoma" w:cs="Tahoma"/>
      <w:sz w:val="20"/>
      <w:szCs w:val="20"/>
    </w:rPr>
  </w:style>
  <w:style w:type="paragraph" w:customStyle="1" w:styleId="xl89">
    <w:name w:val="xl89"/>
    <w:basedOn w:val="Normale"/>
    <w:rsid w:val="0072719D"/>
    <w:pPr>
      <w:pBdr>
        <w:top w:val="none" w:sz="0" w:space="0" w:color="000000"/>
        <w:left w:val="single" w:sz="4" w:space="0" w:color="000000"/>
        <w:bottom w:val="none" w:sz="0" w:space="0" w:color="000000"/>
        <w:right w:val="single" w:sz="4" w:space="0" w:color="000000"/>
      </w:pBdr>
      <w:shd w:val="clear" w:color="auto" w:fill="FFFFFF"/>
      <w:spacing w:before="280" w:after="280" w:line="240" w:lineRule="auto"/>
      <w:textAlignment w:val="top"/>
    </w:pPr>
    <w:rPr>
      <w:rFonts w:ascii="Tahoma" w:eastAsia="Times New Roman" w:hAnsi="Tahoma" w:cs="Tahoma"/>
      <w:sz w:val="20"/>
      <w:szCs w:val="20"/>
    </w:rPr>
  </w:style>
  <w:style w:type="paragraph" w:customStyle="1" w:styleId="xl90">
    <w:name w:val="xl90"/>
    <w:basedOn w:val="Normale"/>
    <w:rsid w:val="0072719D"/>
    <w:pPr>
      <w:pBdr>
        <w:top w:val="none" w:sz="0" w:space="0" w:color="000000"/>
        <w:left w:val="single" w:sz="4" w:space="0" w:color="000000"/>
        <w:bottom w:val="single" w:sz="4" w:space="0" w:color="000000"/>
        <w:right w:val="single" w:sz="4" w:space="0" w:color="000000"/>
      </w:pBdr>
      <w:shd w:val="clear" w:color="auto" w:fill="FFFFFF"/>
      <w:spacing w:before="280" w:after="280" w:line="240" w:lineRule="auto"/>
      <w:textAlignment w:val="top"/>
    </w:pPr>
    <w:rPr>
      <w:rFonts w:ascii="Tahoma" w:eastAsia="Times New Roman" w:hAnsi="Tahoma" w:cs="Tahoma"/>
      <w:sz w:val="20"/>
      <w:szCs w:val="20"/>
    </w:rPr>
  </w:style>
  <w:style w:type="paragraph" w:customStyle="1" w:styleId="xl91">
    <w:name w:val="xl91"/>
    <w:basedOn w:val="Normale"/>
    <w:rsid w:val="0072719D"/>
    <w:pPr>
      <w:pBdr>
        <w:top w:val="single" w:sz="4" w:space="0" w:color="000000"/>
        <w:left w:val="single" w:sz="4" w:space="0" w:color="000000"/>
        <w:bottom w:val="none" w:sz="0" w:space="0" w:color="000000"/>
        <w:right w:val="single" w:sz="4" w:space="0" w:color="000000"/>
      </w:pBdr>
      <w:shd w:val="clear" w:color="auto" w:fill="FFFFFF"/>
      <w:spacing w:before="280" w:after="280" w:line="240" w:lineRule="auto"/>
      <w:textAlignment w:val="top"/>
    </w:pPr>
    <w:rPr>
      <w:rFonts w:ascii="Tahoma" w:eastAsia="Times New Roman" w:hAnsi="Tahoma" w:cs="Tahoma"/>
      <w:sz w:val="20"/>
      <w:szCs w:val="20"/>
    </w:rPr>
  </w:style>
  <w:style w:type="paragraph" w:customStyle="1" w:styleId="xl92">
    <w:name w:val="xl92"/>
    <w:basedOn w:val="Normale"/>
    <w:rsid w:val="0072719D"/>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ahoma" w:eastAsia="Times New Roman" w:hAnsi="Tahoma" w:cs="Tahoma"/>
      <w:b/>
      <w:bCs/>
      <w:sz w:val="20"/>
      <w:szCs w:val="20"/>
    </w:rPr>
  </w:style>
  <w:style w:type="paragraph" w:customStyle="1" w:styleId="xl93">
    <w:name w:val="xl93"/>
    <w:basedOn w:val="Normale"/>
    <w:rsid w:val="0072719D"/>
    <w:pPr>
      <w:pBdr>
        <w:top w:val="none" w:sz="0" w:space="0" w:color="000000"/>
        <w:left w:val="single" w:sz="4" w:space="0" w:color="000000"/>
        <w:bottom w:val="none" w:sz="0" w:space="0" w:color="000000"/>
        <w:right w:val="single" w:sz="4" w:space="0" w:color="000000"/>
      </w:pBdr>
      <w:shd w:val="clear" w:color="auto" w:fill="FFFFFF"/>
      <w:spacing w:before="280" w:after="280" w:line="240" w:lineRule="auto"/>
      <w:textAlignment w:val="top"/>
    </w:pPr>
    <w:rPr>
      <w:rFonts w:ascii="Tahoma" w:eastAsia="Times New Roman" w:hAnsi="Tahoma" w:cs="Tahoma"/>
      <w:b/>
      <w:bCs/>
      <w:sz w:val="20"/>
      <w:szCs w:val="20"/>
    </w:rPr>
  </w:style>
  <w:style w:type="paragraph" w:customStyle="1" w:styleId="xl94">
    <w:name w:val="xl94"/>
    <w:basedOn w:val="Normale"/>
    <w:rsid w:val="0072719D"/>
    <w:pPr>
      <w:pBdr>
        <w:top w:val="none" w:sz="0" w:space="0" w:color="000000"/>
        <w:left w:val="single" w:sz="4" w:space="0" w:color="000000"/>
        <w:bottom w:val="single" w:sz="4" w:space="0" w:color="000000"/>
        <w:right w:val="single" w:sz="4" w:space="0" w:color="000000"/>
      </w:pBdr>
      <w:shd w:val="clear" w:color="auto" w:fill="FFFFFF"/>
      <w:spacing w:before="280" w:after="280" w:line="240" w:lineRule="auto"/>
      <w:textAlignment w:val="top"/>
    </w:pPr>
    <w:rPr>
      <w:rFonts w:ascii="Tahoma" w:eastAsia="Times New Roman" w:hAnsi="Tahoma" w:cs="Tahoma"/>
      <w:b/>
      <w:bCs/>
      <w:sz w:val="20"/>
      <w:szCs w:val="20"/>
    </w:rPr>
  </w:style>
  <w:style w:type="paragraph" w:customStyle="1" w:styleId="xl95">
    <w:name w:val="xl95"/>
    <w:basedOn w:val="Normale"/>
    <w:rsid w:val="0072719D"/>
    <w:pPr>
      <w:pBdr>
        <w:top w:val="single" w:sz="4" w:space="0" w:color="000000"/>
        <w:left w:val="single" w:sz="4" w:space="0" w:color="000000"/>
        <w:bottom w:val="none" w:sz="0" w:space="0" w:color="000000"/>
        <w:right w:val="single" w:sz="4" w:space="0" w:color="000000"/>
      </w:pBdr>
      <w:shd w:val="clear" w:color="auto" w:fill="FFFFFF"/>
      <w:spacing w:before="280" w:after="280" w:line="240" w:lineRule="auto"/>
      <w:textAlignment w:val="top"/>
    </w:pPr>
    <w:rPr>
      <w:rFonts w:ascii="Tahoma" w:eastAsia="Times New Roman" w:hAnsi="Tahoma" w:cs="Tahoma"/>
      <w:b/>
      <w:bCs/>
      <w:sz w:val="20"/>
      <w:szCs w:val="20"/>
    </w:rPr>
  </w:style>
  <w:style w:type="paragraph" w:customStyle="1" w:styleId="xl96">
    <w:name w:val="xl96"/>
    <w:basedOn w:val="Normale"/>
    <w:rsid w:val="0072719D"/>
    <w:pPr>
      <w:pBdr>
        <w:top w:val="single" w:sz="4" w:space="0" w:color="000000"/>
        <w:left w:val="none" w:sz="0" w:space="0" w:color="000000"/>
        <w:bottom w:val="none" w:sz="0" w:space="0" w:color="000000"/>
        <w:right w:val="single" w:sz="4" w:space="0" w:color="000000"/>
      </w:pBdr>
      <w:shd w:val="clear" w:color="auto" w:fill="FFFFFF"/>
      <w:spacing w:before="280" w:after="280" w:line="240" w:lineRule="auto"/>
      <w:textAlignment w:val="top"/>
    </w:pPr>
    <w:rPr>
      <w:rFonts w:ascii="Tahoma" w:eastAsia="Times New Roman" w:hAnsi="Tahoma" w:cs="Tahoma"/>
      <w:b/>
      <w:bCs/>
      <w:sz w:val="20"/>
      <w:szCs w:val="20"/>
    </w:rPr>
  </w:style>
  <w:style w:type="paragraph" w:customStyle="1" w:styleId="xl97">
    <w:name w:val="xl97"/>
    <w:basedOn w:val="Normale"/>
    <w:rsid w:val="0072719D"/>
    <w:pPr>
      <w:pBdr>
        <w:top w:val="none" w:sz="0" w:space="0" w:color="000000"/>
        <w:left w:val="none" w:sz="0" w:space="0" w:color="000000"/>
        <w:bottom w:val="none" w:sz="0" w:space="0" w:color="000000"/>
        <w:right w:val="single" w:sz="4" w:space="0" w:color="000000"/>
      </w:pBdr>
      <w:shd w:val="clear" w:color="auto" w:fill="FFFFFF"/>
      <w:spacing w:before="280" w:after="280" w:line="240" w:lineRule="auto"/>
      <w:textAlignment w:val="top"/>
    </w:pPr>
    <w:rPr>
      <w:rFonts w:ascii="Tahoma" w:eastAsia="Times New Roman" w:hAnsi="Tahoma" w:cs="Tahoma"/>
      <w:b/>
      <w:bCs/>
      <w:sz w:val="20"/>
      <w:szCs w:val="20"/>
    </w:rPr>
  </w:style>
  <w:style w:type="paragraph" w:customStyle="1" w:styleId="xl98">
    <w:name w:val="xl98"/>
    <w:basedOn w:val="Normale"/>
    <w:rsid w:val="0072719D"/>
    <w:pPr>
      <w:pBdr>
        <w:top w:val="none" w:sz="0" w:space="0" w:color="000000"/>
        <w:left w:val="none" w:sz="0" w:space="0" w:color="000000"/>
        <w:bottom w:val="single" w:sz="4" w:space="0" w:color="000000"/>
        <w:right w:val="single" w:sz="4" w:space="0" w:color="000000"/>
      </w:pBdr>
      <w:shd w:val="clear" w:color="auto" w:fill="FFFFFF"/>
      <w:spacing w:before="280" w:after="280" w:line="240" w:lineRule="auto"/>
      <w:textAlignment w:val="top"/>
    </w:pPr>
    <w:rPr>
      <w:rFonts w:ascii="Tahoma" w:eastAsia="Times New Roman" w:hAnsi="Tahoma" w:cs="Tahoma"/>
      <w:b/>
      <w:bCs/>
      <w:sz w:val="20"/>
      <w:szCs w:val="20"/>
    </w:rPr>
  </w:style>
  <w:style w:type="paragraph" w:customStyle="1" w:styleId="xl99">
    <w:name w:val="xl99"/>
    <w:basedOn w:val="Normale"/>
    <w:rsid w:val="0072719D"/>
    <w:pPr>
      <w:shd w:val="clear" w:color="auto" w:fill="FFFFFF"/>
      <w:spacing w:before="280" w:after="280" w:line="240" w:lineRule="auto"/>
      <w:textAlignment w:val="top"/>
    </w:pPr>
    <w:rPr>
      <w:rFonts w:ascii="Tahoma" w:eastAsia="Times New Roman" w:hAnsi="Tahoma" w:cs="Tahoma"/>
      <w:b/>
      <w:bCs/>
      <w:sz w:val="20"/>
      <w:szCs w:val="20"/>
    </w:rPr>
  </w:style>
  <w:style w:type="paragraph" w:customStyle="1" w:styleId="xl100">
    <w:name w:val="xl100"/>
    <w:basedOn w:val="Normale"/>
    <w:rsid w:val="0072719D"/>
    <w:pPr>
      <w:pBdr>
        <w:top w:val="none" w:sz="0" w:space="0" w:color="000000"/>
        <w:left w:val="single" w:sz="4" w:space="0" w:color="000000"/>
        <w:bottom w:val="none" w:sz="0" w:space="0" w:color="000000"/>
        <w:right w:val="single" w:sz="4" w:space="0" w:color="000000"/>
      </w:pBdr>
      <w:shd w:val="clear" w:color="auto" w:fill="FFFFFF"/>
      <w:spacing w:before="280" w:after="280" w:line="240" w:lineRule="auto"/>
      <w:textAlignment w:val="top"/>
    </w:pPr>
    <w:rPr>
      <w:rFonts w:ascii="Tahoma" w:eastAsia="Times New Roman" w:hAnsi="Tahoma" w:cs="Tahoma"/>
      <w:sz w:val="20"/>
      <w:szCs w:val="20"/>
    </w:rPr>
  </w:style>
  <w:style w:type="paragraph" w:customStyle="1" w:styleId="xl101">
    <w:name w:val="xl101"/>
    <w:basedOn w:val="Normale"/>
    <w:rsid w:val="0072719D"/>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textAlignment w:val="top"/>
    </w:pPr>
    <w:rPr>
      <w:rFonts w:ascii="Tahoma" w:eastAsia="Times New Roman" w:hAnsi="Tahoma" w:cs="Tahoma"/>
      <w:b/>
      <w:bCs/>
      <w:sz w:val="20"/>
      <w:szCs w:val="20"/>
    </w:rPr>
  </w:style>
  <w:style w:type="paragraph" w:customStyle="1" w:styleId="xl102">
    <w:name w:val="xl102"/>
    <w:basedOn w:val="Normale"/>
    <w:rsid w:val="0072719D"/>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textAlignment w:val="top"/>
    </w:pPr>
    <w:rPr>
      <w:rFonts w:ascii="Tahoma" w:eastAsia="Times New Roman" w:hAnsi="Tahoma" w:cs="Tahoma"/>
      <w:b/>
      <w:bCs/>
      <w:sz w:val="20"/>
      <w:szCs w:val="20"/>
    </w:rPr>
  </w:style>
  <w:style w:type="paragraph" w:customStyle="1" w:styleId="xl103">
    <w:name w:val="xl103"/>
    <w:basedOn w:val="Normale"/>
    <w:rsid w:val="0072719D"/>
    <w:pPr>
      <w:pBdr>
        <w:top w:val="none" w:sz="0" w:space="0" w:color="000000"/>
        <w:left w:val="single" w:sz="4" w:space="0" w:color="000000"/>
        <w:bottom w:val="none" w:sz="0" w:space="0" w:color="000000"/>
        <w:right w:val="none" w:sz="0" w:space="0" w:color="000000"/>
      </w:pBdr>
      <w:shd w:val="clear" w:color="auto" w:fill="FFFFFF"/>
      <w:spacing w:before="280" w:after="280" w:line="240" w:lineRule="auto"/>
      <w:textAlignment w:val="top"/>
    </w:pPr>
    <w:rPr>
      <w:rFonts w:ascii="Tahoma" w:eastAsia="Times New Roman" w:hAnsi="Tahoma" w:cs="Tahoma"/>
      <w:b/>
      <w:bCs/>
      <w:sz w:val="20"/>
      <w:szCs w:val="20"/>
    </w:rPr>
  </w:style>
  <w:style w:type="paragraph" w:customStyle="1" w:styleId="xl104">
    <w:name w:val="xl104"/>
    <w:basedOn w:val="Normale"/>
    <w:rsid w:val="0072719D"/>
    <w:pPr>
      <w:pBdr>
        <w:top w:val="none" w:sz="0" w:space="0" w:color="000000"/>
        <w:left w:val="single" w:sz="4" w:space="0" w:color="000000"/>
        <w:bottom w:val="single" w:sz="4" w:space="0" w:color="000000"/>
        <w:right w:val="none" w:sz="0" w:space="0" w:color="000000"/>
      </w:pBdr>
      <w:shd w:val="clear" w:color="auto" w:fill="FFFFFF"/>
      <w:spacing w:before="280" w:after="280" w:line="240" w:lineRule="auto"/>
      <w:textAlignment w:val="top"/>
    </w:pPr>
    <w:rPr>
      <w:rFonts w:ascii="Tahoma" w:eastAsia="Times New Roman" w:hAnsi="Tahoma" w:cs="Tahoma"/>
      <w:b/>
      <w:bCs/>
      <w:sz w:val="20"/>
      <w:szCs w:val="20"/>
    </w:rPr>
  </w:style>
  <w:style w:type="paragraph" w:customStyle="1" w:styleId="xl105">
    <w:name w:val="xl105"/>
    <w:basedOn w:val="Normale"/>
    <w:rsid w:val="0072719D"/>
    <w:pPr>
      <w:pBdr>
        <w:top w:val="single" w:sz="4" w:space="0" w:color="000000"/>
        <w:left w:val="single" w:sz="4" w:space="0" w:color="000000"/>
        <w:bottom w:val="none" w:sz="0" w:space="0" w:color="000000"/>
        <w:right w:val="none" w:sz="0" w:space="0" w:color="000000"/>
      </w:pBdr>
      <w:shd w:val="clear" w:color="auto" w:fill="FFFFFF"/>
      <w:spacing w:before="280" w:after="280" w:line="240" w:lineRule="auto"/>
      <w:textAlignment w:val="top"/>
    </w:pPr>
    <w:rPr>
      <w:rFonts w:ascii="Tahoma" w:eastAsia="Times New Roman" w:hAnsi="Tahoma" w:cs="Tahoma"/>
      <w:b/>
      <w:bCs/>
      <w:sz w:val="20"/>
      <w:szCs w:val="20"/>
    </w:rPr>
  </w:style>
  <w:style w:type="paragraph" w:customStyle="1" w:styleId="xl106">
    <w:name w:val="xl106"/>
    <w:basedOn w:val="Normale"/>
    <w:rsid w:val="0072719D"/>
    <w:pPr>
      <w:pBdr>
        <w:top w:val="none" w:sz="0" w:space="0" w:color="000000"/>
        <w:left w:val="single" w:sz="4" w:space="0" w:color="000000"/>
        <w:bottom w:val="none" w:sz="0" w:space="0" w:color="000000"/>
        <w:right w:val="none" w:sz="0" w:space="0" w:color="000000"/>
      </w:pBdr>
      <w:shd w:val="clear" w:color="auto" w:fill="FFFFFF"/>
      <w:spacing w:before="280" w:after="280" w:line="240" w:lineRule="auto"/>
      <w:jc w:val="center"/>
      <w:textAlignment w:val="top"/>
    </w:pPr>
    <w:rPr>
      <w:rFonts w:ascii="Tahoma" w:eastAsia="Times New Roman" w:hAnsi="Tahoma" w:cs="Tahoma"/>
      <w:b/>
      <w:bCs/>
      <w:sz w:val="20"/>
      <w:szCs w:val="20"/>
    </w:rPr>
  </w:style>
  <w:style w:type="paragraph" w:customStyle="1" w:styleId="xl107">
    <w:name w:val="xl107"/>
    <w:basedOn w:val="Normale"/>
    <w:rsid w:val="0072719D"/>
    <w:pPr>
      <w:pBdr>
        <w:top w:val="none" w:sz="0" w:space="0" w:color="000000"/>
        <w:left w:val="single" w:sz="4" w:space="0" w:color="000000"/>
        <w:bottom w:val="single" w:sz="4" w:space="0" w:color="000000"/>
        <w:right w:val="none" w:sz="0" w:space="0" w:color="000000"/>
      </w:pBdr>
      <w:shd w:val="clear" w:color="auto" w:fill="FFFFFF"/>
      <w:spacing w:before="280" w:after="280" w:line="240" w:lineRule="auto"/>
      <w:jc w:val="center"/>
      <w:textAlignment w:val="top"/>
    </w:pPr>
    <w:rPr>
      <w:rFonts w:ascii="Tahoma" w:eastAsia="Times New Roman" w:hAnsi="Tahoma" w:cs="Tahoma"/>
      <w:b/>
      <w:bCs/>
      <w:sz w:val="20"/>
      <w:szCs w:val="20"/>
    </w:rPr>
  </w:style>
  <w:style w:type="paragraph" w:customStyle="1" w:styleId="xl108">
    <w:name w:val="xl108"/>
    <w:basedOn w:val="Normale"/>
    <w:rsid w:val="0072719D"/>
    <w:pPr>
      <w:pBdr>
        <w:top w:val="single" w:sz="4" w:space="0" w:color="000000"/>
        <w:left w:val="single" w:sz="4" w:space="0" w:color="000000"/>
        <w:bottom w:val="none" w:sz="0" w:space="0" w:color="000000"/>
        <w:right w:val="none" w:sz="0" w:space="0" w:color="000000"/>
      </w:pBdr>
      <w:shd w:val="clear" w:color="auto" w:fill="FFFFFF"/>
      <w:spacing w:before="280" w:after="280" w:line="240" w:lineRule="auto"/>
      <w:jc w:val="center"/>
      <w:textAlignment w:val="top"/>
    </w:pPr>
    <w:rPr>
      <w:rFonts w:ascii="Tahoma" w:eastAsia="Times New Roman" w:hAnsi="Tahoma" w:cs="Tahoma"/>
      <w:b/>
      <w:bCs/>
      <w:sz w:val="20"/>
      <w:szCs w:val="20"/>
    </w:rPr>
  </w:style>
  <w:style w:type="paragraph" w:customStyle="1" w:styleId="xl109">
    <w:name w:val="xl109"/>
    <w:basedOn w:val="Normale"/>
    <w:rsid w:val="0072719D"/>
    <w:pPr>
      <w:shd w:val="clear" w:color="auto" w:fill="FFFFFF"/>
      <w:spacing w:before="280" w:after="280" w:line="240" w:lineRule="auto"/>
      <w:textAlignment w:val="top"/>
    </w:pPr>
    <w:rPr>
      <w:rFonts w:ascii="Tahoma" w:eastAsia="Times New Roman" w:hAnsi="Tahoma" w:cs="Tahoma"/>
      <w:sz w:val="20"/>
      <w:szCs w:val="20"/>
    </w:rPr>
  </w:style>
  <w:style w:type="paragraph" w:customStyle="1" w:styleId="xl110">
    <w:name w:val="xl110"/>
    <w:basedOn w:val="Normale"/>
    <w:rsid w:val="0072719D"/>
    <w:pPr>
      <w:pBdr>
        <w:top w:val="none" w:sz="0" w:space="0" w:color="000000"/>
        <w:left w:val="none" w:sz="0" w:space="0" w:color="000000"/>
        <w:bottom w:val="none" w:sz="0" w:space="0" w:color="000000"/>
        <w:right w:val="single" w:sz="4" w:space="0" w:color="000000"/>
      </w:pBdr>
      <w:shd w:val="clear" w:color="auto" w:fill="FFFFFF"/>
      <w:spacing w:before="280" w:after="280" w:line="240" w:lineRule="auto"/>
      <w:textAlignment w:val="top"/>
    </w:pPr>
    <w:rPr>
      <w:rFonts w:ascii="Tahoma" w:eastAsia="Times New Roman" w:hAnsi="Tahoma" w:cs="Tahoma"/>
      <w:sz w:val="20"/>
      <w:szCs w:val="20"/>
    </w:rPr>
  </w:style>
  <w:style w:type="paragraph" w:customStyle="1" w:styleId="xl111">
    <w:name w:val="xl111"/>
    <w:basedOn w:val="Normale"/>
    <w:rsid w:val="0072719D"/>
    <w:pPr>
      <w:pBdr>
        <w:top w:val="none" w:sz="0" w:space="0" w:color="000000"/>
        <w:left w:val="none" w:sz="0" w:space="0" w:color="000000"/>
        <w:bottom w:val="single" w:sz="4" w:space="0" w:color="000000"/>
        <w:right w:val="single" w:sz="4" w:space="0" w:color="000000"/>
      </w:pBdr>
      <w:shd w:val="clear" w:color="auto" w:fill="FFFFFF"/>
      <w:spacing w:before="280" w:after="280" w:line="240" w:lineRule="auto"/>
      <w:textAlignment w:val="top"/>
    </w:pPr>
    <w:rPr>
      <w:rFonts w:ascii="Tahoma" w:eastAsia="Times New Roman" w:hAnsi="Tahoma" w:cs="Tahoma"/>
      <w:sz w:val="20"/>
      <w:szCs w:val="20"/>
    </w:rPr>
  </w:style>
  <w:style w:type="paragraph" w:customStyle="1" w:styleId="xl112">
    <w:name w:val="xl112"/>
    <w:basedOn w:val="Normale"/>
    <w:rsid w:val="0072719D"/>
    <w:pPr>
      <w:pBdr>
        <w:top w:val="single" w:sz="4" w:space="0" w:color="000000"/>
        <w:left w:val="none" w:sz="0" w:space="0" w:color="000000"/>
        <w:bottom w:val="single" w:sz="4" w:space="0" w:color="000000"/>
        <w:right w:val="single" w:sz="4" w:space="0" w:color="000000"/>
      </w:pBdr>
      <w:shd w:val="clear" w:color="auto" w:fill="FFFFFF"/>
      <w:spacing w:before="280" w:after="280" w:line="240" w:lineRule="auto"/>
      <w:textAlignment w:val="top"/>
    </w:pPr>
    <w:rPr>
      <w:rFonts w:ascii="Tahoma" w:eastAsia="Times New Roman" w:hAnsi="Tahoma" w:cs="Tahoma"/>
      <w:sz w:val="20"/>
      <w:szCs w:val="20"/>
    </w:rPr>
  </w:style>
  <w:style w:type="paragraph" w:customStyle="1" w:styleId="xl113">
    <w:name w:val="xl113"/>
    <w:basedOn w:val="Normale"/>
    <w:rsid w:val="0072719D"/>
    <w:pPr>
      <w:pBdr>
        <w:top w:val="single" w:sz="4" w:space="0" w:color="000000"/>
        <w:left w:val="none" w:sz="0" w:space="0" w:color="000000"/>
        <w:bottom w:val="none" w:sz="0" w:space="0" w:color="000000"/>
        <w:right w:val="single" w:sz="4" w:space="0" w:color="000000"/>
      </w:pBdr>
      <w:shd w:val="clear" w:color="auto" w:fill="FFFFFF"/>
      <w:spacing w:before="280" w:after="280" w:line="240" w:lineRule="auto"/>
      <w:textAlignment w:val="top"/>
    </w:pPr>
    <w:rPr>
      <w:rFonts w:ascii="Tahoma" w:eastAsia="Times New Roman" w:hAnsi="Tahoma" w:cs="Tahoma"/>
      <w:sz w:val="20"/>
      <w:szCs w:val="20"/>
    </w:rPr>
  </w:style>
  <w:style w:type="paragraph" w:customStyle="1" w:styleId="xl114">
    <w:name w:val="xl114"/>
    <w:basedOn w:val="Normale"/>
    <w:rsid w:val="0072719D"/>
    <w:pPr>
      <w:pBdr>
        <w:top w:val="none" w:sz="0" w:space="0" w:color="000000"/>
        <w:left w:val="single" w:sz="4" w:space="0" w:color="000000"/>
        <w:bottom w:val="none" w:sz="0" w:space="0" w:color="000000"/>
        <w:right w:val="single" w:sz="4" w:space="0" w:color="000000"/>
      </w:pBdr>
      <w:shd w:val="clear" w:color="auto" w:fill="FFFFFF"/>
      <w:spacing w:before="280" w:after="280" w:line="240" w:lineRule="auto"/>
      <w:textAlignment w:val="top"/>
    </w:pPr>
    <w:rPr>
      <w:rFonts w:ascii="Tahoma" w:eastAsia="Times New Roman" w:hAnsi="Tahoma" w:cs="Tahoma"/>
      <w:color w:val="FF0000"/>
      <w:sz w:val="20"/>
      <w:szCs w:val="20"/>
    </w:rPr>
  </w:style>
  <w:style w:type="paragraph" w:customStyle="1" w:styleId="xl115">
    <w:name w:val="xl115"/>
    <w:basedOn w:val="Normale"/>
    <w:rsid w:val="0072719D"/>
    <w:pPr>
      <w:pBdr>
        <w:top w:val="none" w:sz="0" w:space="0" w:color="000000"/>
        <w:left w:val="single" w:sz="4" w:space="0" w:color="000000"/>
        <w:bottom w:val="none" w:sz="0" w:space="0" w:color="000000"/>
        <w:right w:val="single" w:sz="4" w:space="0" w:color="000000"/>
      </w:pBdr>
      <w:shd w:val="clear" w:color="auto" w:fill="FFFFFF"/>
      <w:spacing w:before="280" w:after="280" w:line="240" w:lineRule="auto"/>
      <w:textAlignment w:val="top"/>
    </w:pPr>
    <w:rPr>
      <w:rFonts w:ascii="Tahoma" w:eastAsia="Times New Roman" w:hAnsi="Tahoma" w:cs="Tahoma"/>
      <w:b/>
      <w:bCs/>
      <w:color w:val="FF0000"/>
      <w:sz w:val="20"/>
      <w:szCs w:val="20"/>
    </w:rPr>
  </w:style>
  <w:style w:type="paragraph" w:customStyle="1" w:styleId="xl116">
    <w:name w:val="xl116"/>
    <w:basedOn w:val="Normale"/>
    <w:rsid w:val="0072719D"/>
    <w:pPr>
      <w:shd w:val="clear" w:color="auto" w:fill="FFFFFF"/>
      <w:spacing w:before="280" w:after="280" w:line="240" w:lineRule="auto"/>
      <w:jc w:val="center"/>
      <w:textAlignment w:val="top"/>
    </w:pPr>
    <w:rPr>
      <w:rFonts w:ascii="Tahoma" w:eastAsia="Times New Roman" w:hAnsi="Tahoma" w:cs="Tahoma"/>
      <w:b/>
      <w:bCs/>
      <w:color w:val="FF0000"/>
      <w:sz w:val="20"/>
      <w:szCs w:val="20"/>
    </w:rPr>
  </w:style>
  <w:style w:type="paragraph" w:customStyle="1" w:styleId="xl117">
    <w:name w:val="xl117"/>
    <w:basedOn w:val="Normale"/>
    <w:rsid w:val="0072719D"/>
    <w:pPr>
      <w:pBdr>
        <w:top w:val="none" w:sz="0" w:space="0" w:color="000000"/>
        <w:left w:val="single" w:sz="4" w:space="0" w:color="000000"/>
        <w:bottom w:val="none" w:sz="0" w:space="0" w:color="000000"/>
        <w:right w:val="single" w:sz="4" w:space="0" w:color="000000"/>
      </w:pBdr>
      <w:shd w:val="clear" w:color="auto" w:fill="FFFFFF"/>
      <w:spacing w:before="280" w:after="280" w:line="240" w:lineRule="auto"/>
      <w:textAlignment w:val="top"/>
    </w:pPr>
    <w:rPr>
      <w:rFonts w:ascii="Tahoma" w:eastAsia="Times New Roman" w:hAnsi="Tahoma" w:cs="Tahoma"/>
      <w:color w:val="FF0000"/>
      <w:sz w:val="20"/>
      <w:szCs w:val="20"/>
    </w:rPr>
  </w:style>
  <w:style w:type="paragraph" w:customStyle="1" w:styleId="xl118">
    <w:name w:val="xl118"/>
    <w:basedOn w:val="Normale"/>
    <w:rsid w:val="0072719D"/>
    <w:pPr>
      <w:spacing w:before="280" w:after="280" w:line="240" w:lineRule="auto"/>
      <w:textAlignment w:val="top"/>
    </w:pPr>
    <w:rPr>
      <w:rFonts w:ascii="Tahoma" w:eastAsia="Times New Roman" w:hAnsi="Tahoma" w:cs="Tahoma"/>
      <w:color w:val="FF0000"/>
      <w:sz w:val="20"/>
      <w:szCs w:val="20"/>
    </w:rPr>
  </w:style>
  <w:style w:type="paragraph" w:customStyle="1" w:styleId="xl119">
    <w:name w:val="xl119"/>
    <w:basedOn w:val="Normale"/>
    <w:rsid w:val="0072719D"/>
    <w:pPr>
      <w:spacing w:before="280" w:after="280" w:line="240" w:lineRule="auto"/>
      <w:jc w:val="center"/>
      <w:textAlignment w:val="center"/>
    </w:pPr>
    <w:rPr>
      <w:rFonts w:ascii="Tahoma" w:eastAsia="Times New Roman" w:hAnsi="Tahoma" w:cs="Tahoma"/>
      <w:b/>
      <w:bCs/>
      <w:sz w:val="20"/>
      <w:szCs w:val="20"/>
    </w:rPr>
  </w:style>
  <w:style w:type="paragraph" w:customStyle="1" w:styleId="xl120">
    <w:name w:val="xl120"/>
    <w:basedOn w:val="Normale"/>
    <w:rsid w:val="0072719D"/>
    <w:pPr>
      <w:pBdr>
        <w:top w:val="single" w:sz="4" w:space="0" w:color="000000"/>
        <w:left w:val="none" w:sz="0" w:space="0" w:color="000000"/>
        <w:bottom w:val="single" w:sz="4" w:space="0" w:color="000000"/>
        <w:right w:val="single" w:sz="4" w:space="0" w:color="000000"/>
      </w:pBdr>
      <w:shd w:val="clear" w:color="auto" w:fill="FFFFFF"/>
      <w:spacing w:before="280" w:after="280" w:line="240" w:lineRule="auto"/>
      <w:textAlignment w:val="top"/>
    </w:pPr>
    <w:rPr>
      <w:rFonts w:ascii="Tahoma" w:eastAsia="Times New Roman" w:hAnsi="Tahoma" w:cs="Tahoma"/>
      <w:b/>
      <w:bCs/>
      <w:sz w:val="20"/>
      <w:szCs w:val="20"/>
    </w:rPr>
  </w:style>
  <w:style w:type="paragraph" w:customStyle="1" w:styleId="xl121">
    <w:name w:val="xl121"/>
    <w:basedOn w:val="Normale"/>
    <w:rsid w:val="0072719D"/>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textAlignment w:val="top"/>
    </w:pPr>
    <w:rPr>
      <w:rFonts w:ascii="Tahoma" w:eastAsia="Times New Roman" w:hAnsi="Tahoma" w:cs="Tahoma"/>
      <w:b/>
      <w:bCs/>
      <w:sz w:val="20"/>
      <w:szCs w:val="20"/>
    </w:rPr>
  </w:style>
  <w:style w:type="paragraph" w:customStyle="1" w:styleId="xl122">
    <w:name w:val="xl122"/>
    <w:basedOn w:val="Normale"/>
    <w:rsid w:val="0072719D"/>
    <w:pPr>
      <w:pBdr>
        <w:top w:val="none" w:sz="0" w:space="0" w:color="000000"/>
        <w:left w:val="none" w:sz="0" w:space="0" w:color="000000"/>
        <w:bottom w:val="none" w:sz="0" w:space="0" w:color="000000"/>
        <w:right w:val="single" w:sz="4" w:space="0" w:color="000000"/>
      </w:pBdr>
      <w:shd w:val="clear" w:color="auto" w:fill="FFFFFF"/>
      <w:spacing w:before="280" w:after="280" w:line="240" w:lineRule="auto"/>
      <w:textAlignment w:val="top"/>
    </w:pPr>
    <w:rPr>
      <w:rFonts w:ascii="Tahoma" w:eastAsia="Times New Roman" w:hAnsi="Tahoma" w:cs="Tahoma"/>
      <w:b/>
      <w:bCs/>
      <w:sz w:val="20"/>
      <w:szCs w:val="20"/>
    </w:rPr>
  </w:style>
  <w:style w:type="paragraph" w:customStyle="1" w:styleId="xl123">
    <w:name w:val="xl123"/>
    <w:basedOn w:val="Normale"/>
    <w:rsid w:val="0072719D"/>
    <w:pPr>
      <w:pBdr>
        <w:top w:val="none" w:sz="0" w:space="0" w:color="000000"/>
        <w:left w:val="single" w:sz="4" w:space="0" w:color="000000"/>
        <w:bottom w:val="none" w:sz="0" w:space="0" w:color="000000"/>
        <w:right w:val="single" w:sz="4" w:space="0" w:color="000000"/>
      </w:pBdr>
      <w:shd w:val="clear" w:color="auto" w:fill="FFFFFF"/>
      <w:spacing w:before="280" w:after="280" w:line="240" w:lineRule="auto"/>
    </w:pPr>
    <w:rPr>
      <w:rFonts w:ascii="Times New Roman" w:eastAsia="Times New Roman" w:hAnsi="Times New Roman"/>
      <w:sz w:val="24"/>
      <w:szCs w:val="24"/>
    </w:rPr>
  </w:style>
  <w:style w:type="paragraph" w:customStyle="1" w:styleId="xl124">
    <w:name w:val="xl124"/>
    <w:basedOn w:val="Normale"/>
    <w:rsid w:val="0072719D"/>
    <w:pPr>
      <w:pBdr>
        <w:top w:val="none" w:sz="0" w:space="0" w:color="000000"/>
        <w:left w:val="none" w:sz="0" w:space="0" w:color="000000"/>
        <w:bottom w:val="none" w:sz="0" w:space="0" w:color="000000"/>
        <w:right w:val="single" w:sz="4" w:space="0" w:color="000000"/>
      </w:pBdr>
      <w:shd w:val="clear" w:color="auto" w:fill="FFFFFF"/>
      <w:spacing w:before="280" w:after="280" w:line="240" w:lineRule="auto"/>
    </w:pPr>
    <w:rPr>
      <w:rFonts w:ascii="Times New Roman" w:eastAsia="Times New Roman" w:hAnsi="Times New Roman"/>
      <w:sz w:val="24"/>
      <w:szCs w:val="24"/>
    </w:rPr>
  </w:style>
  <w:style w:type="paragraph" w:customStyle="1" w:styleId="xl125">
    <w:name w:val="xl125"/>
    <w:basedOn w:val="Normale"/>
    <w:rsid w:val="0072719D"/>
    <w:pPr>
      <w:pBdr>
        <w:top w:val="none" w:sz="0" w:space="0" w:color="000000"/>
        <w:left w:val="single" w:sz="4" w:space="0" w:color="000000"/>
        <w:bottom w:val="single" w:sz="4" w:space="0" w:color="000000"/>
        <w:right w:val="single" w:sz="4" w:space="0" w:color="000000"/>
      </w:pBdr>
      <w:shd w:val="clear" w:color="auto" w:fill="FFFFFF"/>
      <w:spacing w:before="280" w:after="280" w:line="240" w:lineRule="auto"/>
    </w:pPr>
    <w:rPr>
      <w:rFonts w:ascii="Times New Roman" w:eastAsia="Times New Roman" w:hAnsi="Times New Roman"/>
      <w:sz w:val="24"/>
      <w:szCs w:val="24"/>
    </w:rPr>
  </w:style>
  <w:style w:type="paragraph" w:customStyle="1" w:styleId="xl126">
    <w:name w:val="xl126"/>
    <w:basedOn w:val="Normale"/>
    <w:rsid w:val="0072719D"/>
    <w:pPr>
      <w:pBdr>
        <w:top w:val="none" w:sz="0" w:space="0" w:color="000000"/>
        <w:left w:val="none" w:sz="0" w:space="0" w:color="000000"/>
        <w:bottom w:val="single" w:sz="4" w:space="0" w:color="000000"/>
        <w:right w:val="single" w:sz="4" w:space="0" w:color="000000"/>
      </w:pBdr>
      <w:shd w:val="clear" w:color="auto" w:fill="FFFFFF"/>
      <w:spacing w:before="280" w:after="280" w:line="240" w:lineRule="auto"/>
    </w:pPr>
    <w:rPr>
      <w:rFonts w:ascii="Times New Roman" w:eastAsia="Times New Roman" w:hAnsi="Times New Roman"/>
      <w:sz w:val="24"/>
      <w:szCs w:val="24"/>
    </w:rPr>
  </w:style>
  <w:style w:type="paragraph" w:customStyle="1" w:styleId="xl127">
    <w:name w:val="xl127"/>
    <w:basedOn w:val="Normale"/>
    <w:rsid w:val="0072719D"/>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pPr>
    <w:rPr>
      <w:rFonts w:ascii="Times New Roman" w:eastAsia="Times New Roman" w:hAnsi="Times New Roman"/>
      <w:sz w:val="24"/>
      <w:szCs w:val="24"/>
    </w:rPr>
  </w:style>
  <w:style w:type="paragraph" w:customStyle="1" w:styleId="xl128">
    <w:name w:val="xl128"/>
    <w:basedOn w:val="Normale"/>
    <w:rsid w:val="0072719D"/>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textAlignment w:val="top"/>
    </w:pPr>
    <w:rPr>
      <w:rFonts w:ascii="Tahoma" w:eastAsia="Times New Roman" w:hAnsi="Tahoma" w:cs="Tahoma"/>
      <w:sz w:val="20"/>
      <w:szCs w:val="20"/>
    </w:rPr>
  </w:style>
  <w:style w:type="paragraph" w:styleId="Intestazione">
    <w:name w:val="header"/>
    <w:basedOn w:val="Normale"/>
    <w:uiPriority w:val="99"/>
    <w:rsid w:val="0072719D"/>
    <w:rPr>
      <w:rFonts w:eastAsia="Times New Roman"/>
    </w:rPr>
  </w:style>
  <w:style w:type="paragraph" w:styleId="Pidipagina">
    <w:name w:val="footer"/>
    <w:basedOn w:val="Normale"/>
    <w:uiPriority w:val="99"/>
    <w:rsid w:val="0072719D"/>
    <w:rPr>
      <w:rFonts w:eastAsia="Times New Roman"/>
    </w:rPr>
  </w:style>
  <w:style w:type="paragraph" w:styleId="Sommario1">
    <w:name w:val="toc 1"/>
    <w:basedOn w:val="Normale"/>
    <w:next w:val="Normale"/>
    <w:rsid w:val="0072719D"/>
    <w:rPr>
      <w:rFonts w:eastAsia="Times New Roman"/>
    </w:rPr>
  </w:style>
  <w:style w:type="paragraph" w:customStyle="1" w:styleId="Articolo">
    <w:name w:val="Articolo"/>
    <w:basedOn w:val="Titolo10"/>
    <w:rsid w:val="0072719D"/>
    <w:pPr>
      <w:keepNext w:val="0"/>
      <w:spacing w:before="0" w:after="0"/>
      <w:ind w:right="398"/>
      <w:jc w:val="center"/>
    </w:pPr>
    <w:rPr>
      <w:rFonts w:ascii="Tahoma" w:eastAsia="Times New Roman" w:hAnsi="Tahoma" w:cs="Tahoma"/>
      <w:b/>
      <w:bCs/>
      <w:spacing w:val="2"/>
      <w:w w:val="102"/>
      <w:kern w:val="1"/>
      <w:sz w:val="22"/>
      <w:szCs w:val="22"/>
    </w:rPr>
  </w:style>
  <w:style w:type="paragraph" w:customStyle="1" w:styleId="MSGENFONTSTYLENAMETEMPLATEROLENUMBERMSGENFONTSTYLENAMEBYROLETEXT31">
    <w:name w:val="MSG_EN_FONT_STYLE_NAME_TEMPLATE_ROLE_NUMBER MSG_EN_FONT_STYLE_NAME_BY_ROLE_TEXT 31"/>
    <w:basedOn w:val="Normale"/>
    <w:rsid w:val="00B4470B"/>
    <w:pPr>
      <w:widowControl w:val="0"/>
      <w:shd w:val="clear" w:color="auto" w:fill="FFFFFF"/>
      <w:spacing w:before="680" w:after="480" w:line="475" w:lineRule="exact"/>
      <w:jc w:val="both"/>
    </w:pPr>
    <w:rPr>
      <w:rFonts w:ascii="Times New Roman" w:eastAsia="Times New Roman" w:hAnsi="Times New Roman"/>
      <w:b/>
      <w:bCs/>
      <w:sz w:val="24"/>
      <w:szCs w:val="24"/>
    </w:rPr>
  </w:style>
  <w:style w:type="character" w:customStyle="1" w:styleId="MSGENFONTSTYLENAMETEMPLATEROLENUMBERMSGENFONTSTYLENAMEBYROLETEXT3">
    <w:name w:val="MSG_EN_FONT_STYLE_NAME_TEMPLATE_ROLE_NUMBER MSG_EN_FONT_STYLE_NAME_BY_ROLE_TEXT 3_"/>
    <w:rsid w:val="00B4470B"/>
    <w:rPr>
      <w:rFonts w:ascii="Times New Roman" w:hAnsi="Times New Roman" w:cs="Times New Roman" w:hint="default"/>
      <w:b/>
      <w:bCs/>
      <w:strike w:val="0"/>
      <w:dstrike w:val="0"/>
      <w:u w:val="none"/>
      <w:effect w:val="none"/>
    </w:rPr>
  </w:style>
</w:styles>
</file>

<file path=word/webSettings.xml><?xml version="1.0" encoding="utf-8"?>
<w:webSettings xmlns:r="http://schemas.openxmlformats.org/officeDocument/2006/relationships" xmlns:w="http://schemas.openxmlformats.org/wordprocessingml/2006/main">
  <w:divs>
    <w:div w:id="41617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diagramColors" Target="diagrams/colors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diagramData" Target="diagrams/data1.xml"/><Relationship Id="rId19"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106E8F1-6B61-4846-AF69-E23DDF4F7F2D}" type="doc">
      <dgm:prSet loTypeId="urn:microsoft.com/office/officeart/2005/8/layout/orgChart1" loCatId="hierarchy" qsTypeId="urn:microsoft.com/office/officeart/2005/8/quickstyle/simple1" qsCatId="simple" csTypeId="urn:microsoft.com/office/officeart/2005/8/colors/accent1_2" csCatId="accent1" phldr="1"/>
      <dgm:spPr/>
    </dgm:pt>
    <dgm:pt modelId="{E5189DC2-FFB2-4D08-BD4D-69C8873F4C06}">
      <dgm:prSet/>
      <dgm:spPr/>
      <dgm:t>
        <a:bodyPr/>
        <a:lstStyle/>
        <a:p>
          <a:pPr marR="0" algn="ctr" rtl="0"/>
          <a:r>
            <a:rPr lang="it-IT" baseline="0" smtClean="0">
              <a:latin typeface="Calibri"/>
            </a:rPr>
            <a:t>Amministratore Unico (1)</a:t>
          </a:r>
        </a:p>
      </dgm:t>
    </dgm:pt>
    <dgm:pt modelId="{EFFADD91-0639-4B09-AA8F-394C57002254}" type="parTrans" cxnId="{62319D7F-1AB7-4C4F-A3C6-518734736AC1}">
      <dgm:prSet/>
      <dgm:spPr/>
      <dgm:t>
        <a:bodyPr/>
        <a:lstStyle/>
        <a:p>
          <a:endParaRPr lang="it-IT"/>
        </a:p>
      </dgm:t>
    </dgm:pt>
    <dgm:pt modelId="{59700E9C-1900-41FB-B37F-90C5D7B8866E}" type="sibTrans" cxnId="{62319D7F-1AB7-4C4F-A3C6-518734736AC1}">
      <dgm:prSet/>
      <dgm:spPr/>
      <dgm:t>
        <a:bodyPr/>
        <a:lstStyle/>
        <a:p>
          <a:endParaRPr lang="it-IT"/>
        </a:p>
      </dgm:t>
    </dgm:pt>
    <dgm:pt modelId="{279095B1-5313-42A6-BB8A-E31BA7A9F21C}" type="asst">
      <dgm:prSet/>
      <dgm:spPr/>
      <dgm:t>
        <a:bodyPr/>
        <a:lstStyle/>
        <a:p>
          <a:pPr marR="0" algn="ctr" rtl="0"/>
          <a:r>
            <a:rPr lang="it-IT" baseline="0" smtClean="0">
              <a:latin typeface="Calibri"/>
            </a:rPr>
            <a:t>Responsabile Anticorruzione e Trasparenza</a:t>
          </a:r>
          <a:endParaRPr lang="it-IT" smtClean="0"/>
        </a:p>
      </dgm:t>
    </dgm:pt>
    <dgm:pt modelId="{E5E338F9-3D8D-40CF-95D9-EA11D876BAB5}" type="parTrans" cxnId="{CB7E1B36-F9D7-43EA-8B30-C0C7584EA2FC}">
      <dgm:prSet/>
      <dgm:spPr/>
      <dgm:t>
        <a:bodyPr/>
        <a:lstStyle/>
        <a:p>
          <a:endParaRPr lang="it-IT"/>
        </a:p>
      </dgm:t>
    </dgm:pt>
    <dgm:pt modelId="{B8250258-05B7-4EEE-AE9F-B15FD648785E}" type="sibTrans" cxnId="{CB7E1B36-F9D7-43EA-8B30-C0C7584EA2FC}">
      <dgm:prSet/>
      <dgm:spPr/>
      <dgm:t>
        <a:bodyPr/>
        <a:lstStyle/>
        <a:p>
          <a:endParaRPr lang="it-IT"/>
        </a:p>
      </dgm:t>
    </dgm:pt>
    <dgm:pt modelId="{3E7F1268-4198-4DAE-BC00-B15A48557812}" type="asst">
      <dgm:prSet/>
      <dgm:spPr/>
      <dgm:t>
        <a:bodyPr/>
        <a:lstStyle/>
        <a:p>
          <a:pPr marR="0" algn="ctr" rtl="0"/>
          <a:r>
            <a:rPr lang="it-IT" baseline="0" smtClean="0">
              <a:latin typeface="Calibri"/>
            </a:rPr>
            <a:t>Direttore Amministrativo (1)</a:t>
          </a:r>
          <a:endParaRPr lang="it-IT" smtClean="0"/>
        </a:p>
      </dgm:t>
    </dgm:pt>
    <dgm:pt modelId="{CED9539B-8A23-46E2-8A36-BEDA9CF5FADA}" type="parTrans" cxnId="{7D1DBB01-B700-4016-8132-D0067EC1655F}">
      <dgm:prSet/>
      <dgm:spPr/>
      <dgm:t>
        <a:bodyPr/>
        <a:lstStyle/>
        <a:p>
          <a:endParaRPr lang="it-IT"/>
        </a:p>
      </dgm:t>
    </dgm:pt>
    <dgm:pt modelId="{511655E5-D6FF-4AFD-9F73-52B203C21D7E}" type="sibTrans" cxnId="{7D1DBB01-B700-4016-8132-D0067EC1655F}">
      <dgm:prSet/>
      <dgm:spPr/>
      <dgm:t>
        <a:bodyPr/>
        <a:lstStyle/>
        <a:p>
          <a:endParaRPr lang="it-IT"/>
        </a:p>
      </dgm:t>
    </dgm:pt>
    <dgm:pt modelId="{BD9FC816-82DD-43F9-970D-FF98BE55B2C7}">
      <dgm:prSet/>
      <dgm:spPr/>
      <dgm:t>
        <a:bodyPr/>
        <a:lstStyle/>
        <a:p>
          <a:pPr marR="0" algn="ctr" rtl="0"/>
          <a:r>
            <a:rPr lang="it-IT" baseline="0" smtClean="0">
              <a:latin typeface="Calibri"/>
            </a:rPr>
            <a:t>Scuola Sanita (3)</a:t>
          </a:r>
          <a:endParaRPr lang="it-IT" smtClean="0"/>
        </a:p>
      </dgm:t>
    </dgm:pt>
    <dgm:pt modelId="{A8A937FC-28E4-468F-AB5F-EAFFBB2DA07E}" type="parTrans" cxnId="{594E06A9-C40C-406D-81E4-47BE0CA86D1B}">
      <dgm:prSet/>
      <dgm:spPr/>
      <dgm:t>
        <a:bodyPr/>
        <a:lstStyle/>
        <a:p>
          <a:endParaRPr lang="it-IT"/>
        </a:p>
      </dgm:t>
    </dgm:pt>
    <dgm:pt modelId="{C54B7237-23D3-4F20-BB2E-D6843C21B6A3}" type="sibTrans" cxnId="{594E06A9-C40C-406D-81E4-47BE0CA86D1B}">
      <dgm:prSet/>
      <dgm:spPr/>
      <dgm:t>
        <a:bodyPr/>
        <a:lstStyle/>
        <a:p>
          <a:endParaRPr lang="it-IT"/>
        </a:p>
      </dgm:t>
    </dgm:pt>
    <dgm:pt modelId="{D0D8C49A-0774-4E1C-A4DE-6C488B0748A0}">
      <dgm:prSet/>
      <dgm:spPr/>
      <dgm:t>
        <a:bodyPr/>
        <a:lstStyle/>
        <a:p>
          <a:pPr marR="0" algn="ctr" rtl="0"/>
          <a:r>
            <a:rPr lang="it-IT" baseline="0" smtClean="0">
              <a:latin typeface="Calibri"/>
            </a:rPr>
            <a:t>Ufficio Patrimonio Beni Immobili e Mobili (1)</a:t>
          </a:r>
          <a:endParaRPr lang="it-IT" smtClean="0"/>
        </a:p>
      </dgm:t>
    </dgm:pt>
    <dgm:pt modelId="{2C8BFE24-7690-4646-9982-95CC4ED20787}" type="parTrans" cxnId="{3656A667-2DE9-4B7E-A257-D22343D17661}">
      <dgm:prSet/>
      <dgm:spPr/>
      <dgm:t>
        <a:bodyPr/>
        <a:lstStyle/>
        <a:p>
          <a:endParaRPr lang="it-IT"/>
        </a:p>
      </dgm:t>
    </dgm:pt>
    <dgm:pt modelId="{C92EBA95-BC7A-479C-BD51-5CC7F952217A}" type="sibTrans" cxnId="{3656A667-2DE9-4B7E-A257-D22343D17661}">
      <dgm:prSet/>
      <dgm:spPr/>
      <dgm:t>
        <a:bodyPr/>
        <a:lstStyle/>
        <a:p>
          <a:endParaRPr lang="it-IT"/>
        </a:p>
      </dgm:t>
    </dgm:pt>
    <dgm:pt modelId="{C5FB6F48-610C-433B-B562-C7BDB57F5ED8}">
      <dgm:prSet/>
      <dgm:spPr/>
      <dgm:t>
        <a:bodyPr/>
        <a:lstStyle/>
        <a:p>
          <a:pPr marR="0" algn="ctr" rtl="0"/>
          <a:r>
            <a:rPr lang="it-IT" baseline="0" smtClean="0">
              <a:latin typeface="Calibri"/>
            </a:rPr>
            <a:t>Servizio Trasporti Beni di Magazzino e Farmaci (1)</a:t>
          </a:r>
          <a:endParaRPr lang="it-IT" smtClean="0"/>
        </a:p>
      </dgm:t>
    </dgm:pt>
    <dgm:pt modelId="{DCAD4DB1-8374-46B0-88B8-B2C803AD7F9E}" type="parTrans" cxnId="{24AAEBA0-DF16-4A15-A23A-166938B233CC}">
      <dgm:prSet/>
      <dgm:spPr/>
      <dgm:t>
        <a:bodyPr/>
        <a:lstStyle/>
        <a:p>
          <a:endParaRPr lang="it-IT"/>
        </a:p>
      </dgm:t>
    </dgm:pt>
    <dgm:pt modelId="{1EE3B042-BF49-4BAA-9BA5-DE56FF43E9EF}" type="sibTrans" cxnId="{24AAEBA0-DF16-4A15-A23A-166938B233CC}">
      <dgm:prSet/>
      <dgm:spPr/>
      <dgm:t>
        <a:bodyPr/>
        <a:lstStyle/>
        <a:p>
          <a:endParaRPr lang="it-IT"/>
        </a:p>
      </dgm:t>
    </dgm:pt>
    <dgm:pt modelId="{D46F893B-245A-491A-8A30-09FB8E884642}" type="pres">
      <dgm:prSet presAssocID="{2106E8F1-6B61-4846-AF69-E23DDF4F7F2D}" presName="hierChild1" presStyleCnt="0">
        <dgm:presLayoutVars>
          <dgm:orgChart val="1"/>
          <dgm:chPref val="1"/>
          <dgm:dir/>
          <dgm:animOne val="branch"/>
          <dgm:animLvl val="lvl"/>
          <dgm:resizeHandles/>
        </dgm:presLayoutVars>
      </dgm:prSet>
      <dgm:spPr/>
    </dgm:pt>
    <dgm:pt modelId="{DEB88FA8-E057-4F88-95DE-9CAC0D6E66E5}" type="pres">
      <dgm:prSet presAssocID="{E5189DC2-FFB2-4D08-BD4D-69C8873F4C06}" presName="hierRoot1" presStyleCnt="0">
        <dgm:presLayoutVars>
          <dgm:hierBranch/>
        </dgm:presLayoutVars>
      </dgm:prSet>
      <dgm:spPr/>
    </dgm:pt>
    <dgm:pt modelId="{864C41C2-3344-4417-AF30-5D9C2EE19CEB}" type="pres">
      <dgm:prSet presAssocID="{E5189DC2-FFB2-4D08-BD4D-69C8873F4C06}" presName="rootComposite1" presStyleCnt="0"/>
      <dgm:spPr/>
    </dgm:pt>
    <dgm:pt modelId="{43768ACD-B68E-49AD-B0B2-B4D9FDBCAD4F}" type="pres">
      <dgm:prSet presAssocID="{E5189DC2-FFB2-4D08-BD4D-69C8873F4C06}" presName="rootText1" presStyleLbl="node0" presStyleIdx="0" presStyleCnt="1">
        <dgm:presLayoutVars>
          <dgm:chPref val="3"/>
        </dgm:presLayoutVars>
      </dgm:prSet>
      <dgm:spPr/>
      <dgm:t>
        <a:bodyPr/>
        <a:lstStyle/>
        <a:p>
          <a:endParaRPr lang="it-IT"/>
        </a:p>
      </dgm:t>
    </dgm:pt>
    <dgm:pt modelId="{5B86565D-0E62-4780-B5FF-A4F610E5A4E6}" type="pres">
      <dgm:prSet presAssocID="{E5189DC2-FFB2-4D08-BD4D-69C8873F4C06}" presName="rootConnector1" presStyleLbl="node1" presStyleIdx="0" presStyleCnt="0"/>
      <dgm:spPr/>
      <dgm:t>
        <a:bodyPr/>
        <a:lstStyle/>
        <a:p>
          <a:endParaRPr lang="it-IT"/>
        </a:p>
      </dgm:t>
    </dgm:pt>
    <dgm:pt modelId="{F55B0B48-7887-4B98-B5FB-E77396362501}" type="pres">
      <dgm:prSet presAssocID="{E5189DC2-FFB2-4D08-BD4D-69C8873F4C06}" presName="hierChild2" presStyleCnt="0"/>
      <dgm:spPr/>
    </dgm:pt>
    <dgm:pt modelId="{A034E073-F410-4CC6-A9FF-611EE20144F5}" type="pres">
      <dgm:prSet presAssocID="{A8A937FC-28E4-468F-AB5F-EAFFBB2DA07E}" presName="Name35" presStyleLbl="parChTrans1D2" presStyleIdx="0" presStyleCnt="5"/>
      <dgm:spPr/>
      <dgm:t>
        <a:bodyPr/>
        <a:lstStyle/>
        <a:p>
          <a:endParaRPr lang="it-IT"/>
        </a:p>
      </dgm:t>
    </dgm:pt>
    <dgm:pt modelId="{DA464B7B-2E34-48D8-94FC-812437C1C1FE}" type="pres">
      <dgm:prSet presAssocID="{BD9FC816-82DD-43F9-970D-FF98BE55B2C7}" presName="hierRoot2" presStyleCnt="0">
        <dgm:presLayoutVars>
          <dgm:hierBranch/>
        </dgm:presLayoutVars>
      </dgm:prSet>
      <dgm:spPr/>
    </dgm:pt>
    <dgm:pt modelId="{55BA5B2C-82B3-4E1B-AD9B-C3B48EBB96DE}" type="pres">
      <dgm:prSet presAssocID="{BD9FC816-82DD-43F9-970D-FF98BE55B2C7}" presName="rootComposite" presStyleCnt="0"/>
      <dgm:spPr/>
    </dgm:pt>
    <dgm:pt modelId="{879D7DDB-6D57-45F1-9760-C971228BD9A9}" type="pres">
      <dgm:prSet presAssocID="{BD9FC816-82DD-43F9-970D-FF98BE55B2C7}" presName="rootText" presStyleLbl="node2" presStyleIdx="0" presStyleCnt="3">
        <dgm:presLayoutVars>
          <dgm:chPref val="3"/>
        </dgm:presLayoutVars>
      </dgm:prSet>
      <dgm:spPr/>
      <dgm:t>
        <a:bodyPr/>
        <a:lstStyle/>
        <a:p>
          <a:endParaRPr lang="it-IT"/>
        </a:p>
      </dgm:t>
    </dgm:pt>
    <dgm:pt modelId="{4054A5E3-66DB-48AD-827B-5D52F0F33466}" type="pres">
      <dgm:prSet presAssocID="{BD9FC816-82DD-43F9-970D-FF98BE55B2C7}" presName="rootConnector" presStyleLbl="node2" presStyleIdx="0" presStyleCnt="3"/>
      <dgm:spPr/>
      <dgm:t>
        <a:bodyPr/>
        <a:lstStyle/>
        <a:p>
          <a:endParaRPr lang="it-IT"/>
        </a:p>
      </dgm:t>
    </dgm:pt>
    <dgm:pt modelId="{0E68DAF7-DEBE-4FD2-8402-F7BCDE0B25AC}" type="pres">
      <dgm:prSet presAssocID="{BD9FC816-82DD-43F9-970D-FF98BE55B2C7}" presName="hierChild4" presStyleCnt="0"/>
      <dgm:spPr/>
    </dgm:pt>
    <dgm:pt modelId="{C8E3E94C-5B5E-4FED-ABCD-2C76C4249C3C}" type="pres">
      <dgm:prSet presAssocID="{BD9FC816-82DD-43F9-970D-FF98BE55B2C7}" presName="hierChild5" presStyleCnt="0"/>
      <dgm:spPr/>
    </dgm:pt>
    <dgm:pt modelId="{6A59DCE0-4241-4B53-8A96-9B6A0FCC668F}" type="pres">
      <dgm:prSet presAssocID="{2C8BFE24-7690-4646-9982-95CC4ED20787}" presName="Name35" presStyleLbl="parChTrans1D2" presStyleIdx="1" presStyleCnt="5"/>
      <dgm:spPr/>
      <dgm:t>
        <a:bodyPr/>
        <a:lstStyle/>
        <a:p>
          <a:endParaRPr lang="it-IT"/>
        </a:p>
      </dgm:t>
    </dgm:pt>
    <dgm:pt modelId="{4E90B911-8A42-440B-A69F-A7136A3856C3}" type="pres">
      <dgm:prSet presAssocID="{D0D8C49A-0774-4E1C-A4DE-6C488B0748A0}" presName="hierRoot2" presStyleCnt="0">
        <dgm:presLayoutVars>
          <dgm:hierBranch/>
        </dgm:presLayoutVars>
      </dgm:prSet>
      <dgm:spPr/>
    </dgm:pt>
    <dgm:pt modelId="{F711AE13-4ACC-4284-BB52-B410093EC0B8}" type="pres">
      <dgm:prSet presAssocID="{D0D8C49A-0774-4E1C-A4DE-6C488B0748A0}" presName="rootComposite" presStyleCnt="0"/>
      <dgm:spPr/>
    </dgm:pt>
    <dgm:pt modelId="{D3BCD818-05E2-43DB-8B07-B973E3BB1A75}" type="pres">
      <dgm:prSet presAssocID="{D0D8C49A-0774-4E1C-A4DE-6C488B0748A0}" presName="rootText" presStyleLbl="node2" presStyleIdx="1" presStyleCnt="3">
        <dgm:presLayoutVars>
          <dgm:chPref val="3"/>
        </dgm:presLayoutVars>
      </dgm:prSet>
      <dgm:spPr/>
      <dgm:t>
        <a:bodyPr/>
        <a:lstStyle/>
        <a:p>
          <a:endParaRPr lang="it-IT"/>
        </a:p>
      </dgm:t>
    </dgm:pt>
    <dgm:pt modelId="{F0156BB2-29C1-4FE3-AF9B-7171057D2687}" type="pres">
      <dgm:prSet presAssocID="{D0D8C49A-0774-4E1C-A4DE-6C488B0748A0}" presName="rootConnector" presStyleLbl="node2" presStyleIdx="1" presStyleCnt="3"/>
      <dgm:spPr/>
      <dgm:t>
        <a:bodyPr/>
        <a:lstStyle/>
        <a:p>
          <a:endParaRPr lang="it-IT"/>
        </a:p>
      </dgm:t>
    </dgm:pt>
    <dgm:pt modelId="{BF9F6EDC-5E58-4F5A-86D4-B78A9A706D47}" type="pres">
      <dgm:prSet presAssocID="{D0D8C49A-0774-4E1C-A4DE-6C488B0748A0}" presName="hierChild4" presStyleCnt="0"/>
      <dgm:spPr/>
    </dgm:pt>
    <dgm:pt modelId="{444EAF58-178B-40A4-B9DB-4F9882E354A5}" type="pres">
      <dgm:prSet presAssocID="{D0D8C49A-0774-4E1C-A4DE-6C488B0748A0}" presName="hierChild5" presStyleCnt="0"/>
      <dgm:spPr/>
    </dgm:pt>
    <dgm:pt modelId="{FF6E6CD2-93D5-423A-9B51-10FC5E15C604}" type="pres">
      <dgm:prSet presAssocID="{DCAD4DB1-8374-46B0-88B8-B2C803AD7F9E}" presName="Name35" presStyleLbl="parChTrans1D2" presStyleIdx="2" presStyleCnt="5"/>
      <dgm:spPr/>
      <dgm:t>
        <a:bodyPr/>
        <a:lstStyle/>
        <a:p>
          <a:endParaRPr lang="it-IT"/>
        </a:p>
      </dgm:t>
    </dgm:pt>
    <dgm:pt modelId="{28512CE5-3DF8-4DFA-9644-6C25DA82B93A}" type="pres">
      <dgm:prSet presAssocID="{C5FB6F48-610C-433B-B562-C7BDB57F5ED8}" presName="hierRoot2" presStyleCnt="0">
        <dgm:presLayoutVars>
          <dgm:hierBranch/>
        </dgm:presLayoutVars>
      </dgm:prSet>
      <dgm:spPr/>
    </dgm:pt>
    <dgm:pt modelId="{69CA5753-196D-4186-AECF-92EF954F76EF}" type="pres">
      <dgm:prSet presAssocID="{C5FB6F48-610C-433B-B562-C7BDB57F5ED8}" presName="rootComposite" presStyleCnt="0"/>
      <dgm:spPr/>
    </dgm:pt>
    <dgm:pt modelId="{FD0CB807-2A95-45BC-B445-35F0D5F15DA0}" type="pres">
      <dgm:prSet presAssocID="{C5FB6F48-610C-433B-B562-C7BDB57F5ED8}" presName="rootText" presStyleLbl="node2" presStyleIdx="2" presStyleCnt="3">
        <dgm:presLayoutVars>
          <dgm:chPref val="3"/>
        </dgm:presLayoutVars>
      </dgm:prSet>
      <dgm:spPr/>
      <dgm:t>
        <a:bodyPr/>
        <a:lstStyle/>
        <a:p>
          <a:endParaRPr lang="it-IT"/>
        </a:p>
      </dgm:t>
    </dgm:pt>
    <dgm:pt modelId="{07E69862-A17D-42AD-9670-5CE859A7386F}" type="pres">
      <dgm:prSet presAssocID="{C5FB6F48-610C-433B-B562-C7BDB57F5ED8}" presName="rootConnector" presStyleLbl="node2" presStyleIdx="2" presStyleCnt="3"/>
      <dgm:spPr/>
      <dgm:t>
        <a:bodyPr/>
        <a:lstStyle/>
        <a:p>
          <a:endParaRPr lang="it-IT"/>
        </a:p>
      </dgm:t>
    </dgm:pt>
    <dgm:pt modelId="{B7C291D0-BFA7-4F08-B6AC-E22F709F0257}" type="pres">
      <dgm:prSet presAssocID="{C5FB6F48-610C-433B-B562-C7BDB57F5ED8}" presName="hierChild4" presStyleCnt="0"/>
      <dgm:spPr/>
    </dgm:pt>
    <dgm:pt modelId="{40552ACE-33E0-47DD-87A8-7437B83FD61F}" type="pres">
      <dgm:prSet presAssocID="{C5FB6F48-610C-433B-B562-C7BDB57F5ED8}" presName="hierChild5" presStyleCnt="0"/>
      <dgm:spPr/>
    </dgm:pt>
    <dgm:pt modelId="{8D2E507D-E3E6-4F90-B115-0C06342C3603}" type="pres">
      <dgm:prSet presAssocID="{E5189DC2-FFB2-4D08-BD4D-69C8873F4C06}" presName="hierChild3" presStyleCnt="0"/>
      <dgm:spPr/>
    </dgm:pt>
    <dgm:pt modelId="{7BD496D7-17BF-4A43-8AFC-A0CCBE708C15}" type="pres">
      <dgm:prSet presAssocID="{E5E338F9-3D8D-40CF-95D9-EA11D876BAB5}" presName="Name111" presStyleLbl="parChTrans1D2" presStyleIdx="3" presStyleCnt="5"/>
      <dgm:spPr/>
      <dgm:t>
        <a:bodyPr/>
        <a:lstStyle/>
        <a:p>
          <a:endParaRPr lang="it-IT"/>
        </a:p>
      </dgm:t>
    </dgm:pt>
    <dgm:pt modelId="{0A767BC0-2F6D-4D43-A0FB-A231009CBD05}" type="pres">
      <dgm:prSet presAssocID="{279095B1-5313-42A6-BB8A-E31BA7A9F21C}" presName="hierRoot3" presStyleCnt="0">
        <dgm:presLayoutVars>
          <dgm:hierBranch/>
        </dgm:presLayoutVars>
      </dgm:prSet>
      <dgm:spPr/>
    </dgm:pt>
    <dgm:pt modelId="{CFEDB293-40CD-497F-A84F-5B0E5D13DAA5}" type="pres">
      <dgm:prSet presAssocID="{279095B1-5313-42A6-BB8A-E31BA7A9F21C}" presName="rootComposite3" presStyleCnt="0"/>
      <dgm:spPr/>
    </dgm:pt>
    <dgm:pt modelId="{027CA1EF-E0E5-4FE1-9111-CDCA99F05698}" type="pres">
      <dgm:prSet presAssocID="{279095B1-5313-42A6-BB8A-E31BA7A9F21C}" presName="rootText3" presStyleLbl="asst1" presStyleIdx="0" presStyleCnt="2">
        <dgm:presLayoutVars>
          <dgm:chPref val="3"/>
        </dgm:presLayoutVars>
      </dgm:prSet>
      <dgm:spPr/>
      <dgm:t>
        <a:bodyPr/>
        <a:lstStyle/>
        <a:p>
          <a:endParaRPr lang="it-IT"/>
        </a:p>
      </dgm:t>
    </dgm:pt>
    <dgm:pt modelId="{EB2735CC-C2B0-49DB-875C-37C9C5D4A398}" type="pres">
      <dgm:prSet presAssocID="{279095B1-5313-42A6-BB8A-E31BA7A9F21C}" presName="rootConnector3" presStyleLbl="asst1" presStyleIdx="0" presStyleCnt="2"/>
      <dgm:spPr/>
      <dgm:t>
        <a:bodyPr/>
        <a:lstStyle/>
        <a:p>
          <a:endParaRPr lang="it-IT"/>
        </a:p>
      </dgm:t>
    </dgm:pt>
    <dgm:pt modelId="{6BA9CCA2-27A5-4554-9C1B-2B352F9C2F4C}" type="pres">
      <dgm:prSet presAssocID="{279095B1-5313-42A6-BB8A-E31BA7A9F21C}" presName="hierChild6" presStyleCnt="0"/>
      <dgm:spPr/>
    </dgm:pt>
    <dgm:pt modelId="{6DBE3BA0-5FC4-49CE-8310-FF97051C763B}" type="pres">
      <dgm:prSet presAssocID="{279095B1-5313-42A6-BB8A-E31BA7A9F21C}" presName="hierChild7" presStyleCnt="0"/>
      <dgm:spPr/>
    </dgm:pt>
    <dgm:pt modelId="{B76E795B-9B74-4E40-B879-739E6F20ADA6}" type="pres">
      <dgm:prSet presAssocID="{CED9539B-8A23-46E2-8A36-BEDA9CF5FADA}" presName="Name111" presStyleLbl="parChTrans1D2" presStyleIdx="4" presStyleCnt="5"/>
      <dgm:spPr/>
      <dgm:t>
        <a:bodyPr/>
        <a:lstStyle/>
        <a:p>
          <a:endParaRPr lang="it-IT"/>
        </a:p>
      </dgm:t>
    </dgm:pt>
    <dgm:pt modelId="{C80F899D-0D9D-4F2B-A781-A4D8957AAD46}" type="pres">
      <dgm:prSet presAssocID="{3E7F1268-4198-4DAE-BC00-B15A48557812}" presName="hierRoot3" presStyleCnt="0">
        <dgm:presLayoutVars>
          <dgm:hierBranch/>
        </dgm:presLayoutVars>
      </dgm:prSet>
      <dgm:spPr/>
    </dgm:pt>
    <dgm:pt modelId="{1A1D4E7C-A4EA-46F1-BAFC-DCE96F25AB2A}" type="pres">
      <dgm:prSet presAssocID="{3E7F1268-4198-4DAE-BC00-B15A48557812}" presName="rootComposite3" presStyleCnt="0"/>
      <dgm:spPr/>
    </dgm:pt>
    <dgm:pt modelId="{CE9864D7-76F8-4F76-A8A9-64E33A8CBB08}" type="pres">
      <dgm:prSet presAssocID="{3E7F1268-4198-4DAE-BC00-B15A48557812}" presName="rootText3" presStyleLbl="asst1" presStyleIdx="1" presStyleCnt="2">
        <dgm:presLayoutVars>
          <dgm:chPref val="3"/>
        </dgm:presLayoutVars>
      </dgm:prSet>
      <dgm:spPr/>
      <dgm:t>
        <a:bodyPr/>
        <a:lstStyle/>
        <a:p>
          <a:endParaRPr lang="it-IT"/>
        </a:p>
      </dgm:t>
    </dgm:pt>
    <dgm:pt modelId="{277E0B9F-10B2-455D-92F9-6E88921546CC}" type="pres">
      <dgm:prSet presAssocID="{3E7F1268-4198-4DAE-BC00-B15A48557812}" presName="rootConnector3" presStyleLbl="asst1" presStyleIdx="1" presStyleCnt="2"/>
      <dgm:spPr/>
      <dgm:t>
        <a:bodyPr/>
        <a:lstStyle/>
        <a:p>
          <a:endParaRPr lang="it-IT"/>
        </a:p>
      </dgm:t>
    </dgm:pt>
    <dgm:pt modelId="{7D8333F7-FD2C-4799-B4A6-F0AA213C680F}" type="pres">
      <dgm:prSet presAssocID="{3E7F1268-4198-4DAE-BC00-B15A48557812}" presName="hierChild6" presStyleCnt="0"/>
      <dgm:spPr/>
    </dgm:pt>
    <dgm:pt modelId="{3C713985-1114-4E8C-A190-31189F054FD4}" type="pres">
      <dgm:prSet presAssocID="{3E7F1268-4198-4DAE-BC00-B15A48557812}" presName="hierChild7" presStyleCnt="0"/>
      <dgm:spPr/>
    </dgm:pt>
  </dgm:ptLst>
  <dgm:cxnLst>
    <dgm:cxn modelId="{10947B56-C234-46F3-8554-BC8DBF2116DC}" type="presOf" srcId="{3E7F1268-4198-4DAE-BC00-B15A48557812}" destId="{277E0B9F-10B2-455D-92F9-6E88921546CC}" srcOrd="1" destOrd="0" presId="urn:microsoft.com/office/officeart/2005/8/layout/orgChart1"/>
    <dgm:cxn modelId="{F8E72F72-6FA0-4F17-A3F3-8828D80E6C2D}" type="presOf" srcId="{D0D8C49A-0774-4E1C-A4DE-6C488B0748A0}" destId="{D3BCD818-05E2-43DB-8B07-B973E3BB1A75}" srcOrd="0" destOrd="0" presId="urn:microsoft.com/office/officeart/2005/8/layout/orgChart1"/>
    <dgm:cxn modelId="{C77C5E94-9F66-45DE-AE2B-C198D947EB83}" type="presOf" srcId="{C5FB6F48-610C-433B-B562-C7BDB57F5ED8}" destId="{07E69862-A17D-42AD-9670-5CE859A7386F}" srcOrd="1" destOrd="0" presId="urn:microsoft.com/office/officeart/2005/8/layout/orgChart1"/>
    <dgm:cxn modelId="{3656A667-2DE9-4B7E-A257-D22343D17661}" srcId="{E5189DC2-FFB2-4D08-BD4D-69C8873F4C06}" destId="{D0D8C49A-0774-4E1C-A4DE-6C488B0748A0}" srcOrd="3" destOrd="0" parTransId="{2C8BFE24-7690-4646-9982-95CC4ED20787}" sibTransId="{C92EBA95-BC7A-479C-BD51-5CC7F952217A}"/>
    <dgm:cxn modelId="{1062FACD-DFEC-4518-91A9-68E8DEEE7CAD}" type="presOf" srcId="{BD9FC816-82DD-43F9-970D-FF98BE55B2C7}" destId="{879D7DDB-6D57-45F1-9760-C971228BD9A9}" srcOrd="0" destOrd="0" presId="urn:microsoft.com/office/officeart/2005/8/layout/orgChart1"/>
    <dgm:cxn modelId="{7D1DBB01-B700-4016-8132-D0067EC1655F}" srcId="{E5189DC2-FFB2-4D08-BD4D-69C8873F4C06}" destId="{3E7F1268-4198-4DAE-BC00-B15A48557812}" srcOrd="1" destOrd="0" parTransId="{CED9539B-8A23-46E2-8A36-BEDA9CF5FADA}" sibTransId="{511655E5-D6FF-4AFD-9F73-52B203C21D7E}"/>
    <dgm:cxn modelId="{DC642A91-755D-4F03-830B-D56CD57ADC8B}" type="presOf" srcId="{279095B1-5313-42A6-BB8A-E31BA7A9F21C}" destId="{027CA1EF-E0E5-4FE1-9111-CDCA99F05698}" srcOrd="0" destOrd="0" presId="urn:microsoft.com/office/officeart/2005/8/layout/orgChart1"/>
    <dgm:cxn modelId="{2F8209AC-B0D4-4EF1-AB44-9F52B5907AF2}" type="presOf" srcId="{E5189DC2-FFB2-4D08-BD4D-69C8873F4C06}" destId="{5B86565D-0E62-4780-B5FF-A4F610E5A4E6}" srcOrd="1" destOrd="0" presId="urn:microsoft.com/office/officeart/2005/8/layout/orgChart1"/>
    <dgm:cxn modelId="{B56B3BCC-223C-4471-937D-4B193ECBE714}" type="presOf" srcId="{C5FB6F48-610C-433B-B562-C7BDB57F5ED8}" destId="{FD0CB807-2A95-45BC-B445-35F0D5F15DA0}" srcOrd="0" destOrd="0" presId="urn:microsoft.com/office/officeart/2005/8/layout/orgChart1"/>
    <dgm:cxn modelId="{24AAEBA0-DF16-4A15-A23A-166938B233CC}" srcId="{E5189DC2-FFB2-4D08-BD4D-69C8873F4C06}" destId="{C5FB6F48-610C-433B-B562-C7BDB57F5ED8}" srcOrd="4" destOrd="0" parTransId="{DCAD4DB1-8374-46B0-88B8-B2C803AD7F9E}" sibTransId="{1EE3B042-BF49-4BAA-9BA5-DE56FF43E9EF}"/>
    <dgm:cxn modelId="{1FCF9DC3-6B6B-4447-9E53-69B535D8425B}" type="presOf" srcId="{279095B1-5313-42A6-BB8A-E31BA7A9F21C}" destId="{EB2735CC-C2B0-49DB-875C-37C9C5D4A398}" srcOrd="1" destOrd="0" presId="urn:microsoft.com/office/officeart/2005/8/layout/orgChart1"/>
    <dgm:cxn modelId="{594E06A9-C40C-406D-81E4-47BE0CA86D1B}" srcId="{E5189DC2-FFB2-4D08-BD4D-69C8873F4C06}" destId="{BD9FC816-82DD-43F9-970D-FF98BE55B2C7}" srcOrd="2" destOrd="0" parTransId="{A8A937FC-28E4-468F-AB5F-EAFFBB2DA07E}" sibTransId="{C54B7237-23D3-4F20-BB2E-D6843C21B6A3}"/>
    <dgm:cxn modelId="{CD46E1B7-8D84-4361-8E5D-723E000BB53B}" type="presOf" srcId="{2106E8F1-6B61-4846-AF69-E23DDF4F7F2D}" destId="{D46F893B-245A-491A-8A30-09FB8E884642}" srcOrd="0" destOrd="0" presId="urn:microsoft.com/office/officeart/2005/8/layout/orgChart1"/>
    <dgm:cxn modelId="{056C555E-09F0-4FB1-AEC6-5E03F6FFEBF4}" type="presOf" srcId="{E5189DC2-FFB2-4D08-BD4D-69C8873F4C06}" destId="{43768ACD-B68E-49AD-B0B2-B4D9FDBCAD4F}" srcOrd="0" destOrd="0" presId="urn:microsoft.com/office/officeart/2005/8/layout/orgChart1"/>
    <dgm:cxn modelId="{B7255C76-5E14-4A50-9450-4F581842FEEF}" type="presOf" srcId="{BD9FC816-82DD-43F9-970D-FF98BE55B2C7}" destId="{4054A5E3-66DB-48AD-827B-5D52F0F33466}" srcOrd="1" destOrd="0" presId="urn:microsoft.com/office/officeart/2005/8/layout/orgChart1"/>
    <dgm:cxn modelId="{6D8FB756-145D-42B8-964C-047CB9A7E20B}" type="presOf" srcId="{CED9539B-8A23-46E2-8A36-BEDA9CF5FADA}" destId="{B76E795B-9B74-4E40-B879-739E6F20ADA6}" srcOrd="0" destOrd="0" presId="urn:microsoft.com/office/officeart/2005/8/layout/orgChart1"/>
    <dgm:cxn modelId="{1F2AA611-CA74-418C-9D08-80AC1537FE19}" type="presOf" srcId="{A8A937FC-28E4-468F-AB5F-EAFFBB2DA07E}" destId="{A034E073-F410-4CC6-A9FF-611EE20144F5}" srcOrd="0" destOrd="0" presId="urn:microsoft.com/office/officeart/2005/8/layout/orgChart1"/>
    <dgm:cxn modelId="{62319D7F-1AB7-4C4F-A3C6-518734736AC1}" srcId="{2106E8F1-6B61-4846-AF69-E23DDF4F7F2D}" destId="{E5189DC2-FFB2-4D08-BD4D-69C8873F4C06}" srcOrd="0" destOrd="0" parTransId="{EFFADD91-0639-4B09-AA8F-394C57002254}" sibTransId="{59700E9C-1900-41FB-B37F-90C5D7B8866E}"/>
    <dgm:cxn modelId="{AC47986A-0E46-4CFA-BEB5-2EB4FC613C95}" type="presOf" srcId="{D0D8C49A-0774-4E1C-A4DE-6C488B0748A0}" destId="{F0156BB2-29C1-4FE3-AF9B-7171057D2687}" srcOrd="1" destOrd="0" presId="urn:microsoft.com/office/officeart/2005/8/layout/orgChart1"/>
    <dgm:cxn modelId="{CB7E1B36-F9D7-43EA-8B30-C0C7584EA2FC}" srcId="{E5189DC2-FFB2-4D08-BD4D-69C8873F4C06}" destId="{279095B1-5313-42A6-BB8A-E31BA7A9F21C}" srcOrd="0" destOrd="0" parTransId="{E5E338F9-3D8D-40CF-95D9-EA11D876BAB5}" sibTransId="{B8250258-05B7-4EEE-AE9F-B15FD648785E}"/>
    <dgm:cxn modelId="{28CB3F8D-7146-44DB-8010-5007B02D6AC3}" type="presOf" srcId="{2C8BFE24-7690-4646-9982-95CC4ED20787}" destId="{6A59DCE0-4241-4B53-8A96-9B6A0FCC668F}" srcOrd="0" destOrd="0" presId="urn:microsoft.com/office/officeart/2005/8/layout/orgChart1"/>
    <dgm:cxn modelId="{B4B5D52C-CF67-477E-8897-75DB29FCF929}" type="presOf" srcId="{3E7F1268-4198-4DAE-BC00-B15A48557812}" destId="{CE9864D7-76F8-4F76-A8A9-64E33A8CBB08}" srcOrd="0" destOrd="0" presId="urn:microsoft.com/office/officeart/2005/8/layout/orgChart1"/>
    <dgm:cxn modelId="{2FB9859F-CD09-4808-8C45-A11D1564DBEE}" type="presOf" srcId="{E5E338F9-3D8D-40CF-95D9-EA11D876BAB5}" destId="{7BD496D7-17BF-4A43-8AFC-A0CCBE708C15}" srcOrd="0" destOrd="0" presId="urn:microsoft.com/office/officeart/2005/8/layout/orgChart1"/>
    <dgm:cxn modelId="{EAE88ACD-F299-4921-88B7-ECA776E1D7F7}" type="presOf" srcId="{DCAD4DB1-8374-46B0-88B8-B2C803AD7F9E}" destId="{FF6E6CD2-93D5-423A-9B51-10FC5E15C604}" srcOrd="0" destOrd="0" presId="urn:microsoft.com/office/officeart/2005/8/layout/orgChart1"/>
    <dgm:cxn modelId="{598B2C53-1C96-44EA-8300-9490840E4362}" type="presParOf" srcId="{D46F893B-245A-491A-8A30-09FB8E884642}" destId="{DEB88FA8-E057-4F88-95DE-9CAC0D6E66E5}" srcOrd="0" destOrd="0" presId="urn:microsoft.com/office/officeart/2005/8/layout/orgChart1"/>
    <dgm:cxn modelId="{56620BD4-F55C-467F-AF03-DA98FD4D6FBB}" type="presParOf" srcId="{DEB88FA8-E057-4F88-95DE-9CAC0D6E66E5}" destId="{864C41C2-3344-4417-AF30-5D9C2EE19CEB}" srcOrd="0" destOrd="0" presId="urn:microsoft.com/office/officeart/2005/8/layout/orgChart1"/>
    <dgm:cxn modelId="{DD4122A0-9586-4375-B999-55D044179394}" type="presParOf" srcId="{864C41C2-3344-4417-AF30-5D9C2EE19CEB}" destId="{43768ACD-B68E-49AD-B0B2-B4D9FDBCAD4F}" srcOrd="0" destOrd="0" presId="urn:microsoft.com/office/officeart/2005/8/layout/orgChart1"/>
    <dgm:cxn modelId="{FD9C3743-E62C-4209-8E55-70D25D2EB13C}" type="presParOf" srcId="{864C41C2-3344-4417-AF30-5D9C2EE19CEB}" destId="{5B86565D-0E62-4780-B5FF-A4F610E5A4E6}" srcOrd="1" destOrd="0" presId="urn:microsoft.com/office/officeart/2005/8/layout/orgChart1"/>
    <dgm:cxn modelId="{7B4A52BD-7512-42E1-BAED-92FED297926F}" type="presParOf" srcId="{DEB88FA8-E057-4F88-95DE-9CAC0D6E66E5}" destId="{F55B0B48-7887-4B98-B5FB-E77396362501}" srcOrd="1" destOrd="0" presId="urn:microsoft.com/office/officeart/2005/8/layout/orgChart1"/>
    <dgm:cxn modelId="{B393398C-A6B0-4AED-A157-E0C1F8E3A541}" type="presParOf" srcId="{F55B0B48-7887-4B98-B5FB-E77396362501}" destId="{A034E073-F410-4CC6-A9FF-611EE20144F5}" srcOrd="0" destOrd="0" presId="urn:microsoft.com/office/officeart/2005/8/layout/orgChart1"/>
    <dgm:cxn modelId="{1AEC7656-2C1F-41FC-B494-DA246F82D14A}" type="presParOf" srcId="{F55B0B48-7887-4B98-B5FB-E77396362501}" destId="{DA464B7B-2E34-48D8-94FC-812437C1C1FE}" srcOrd="1" destOrd="0" presId="urn:microsoft.com/office/officeart/2005/8/layout/orgChart1"/>
    <dgm:cxn modelId="{18EFD624-FDCA-4EFF-A406-F0DCC6808847}" type="presParOf" srcId="{DA464B7B-2E34-48D8-94FC-812437C1C1FE}" destId="{55BA5B2C-82B3-4E1B-AD9B-C3B48EBB96DE}" srcOrd="0" destOrd="0" presId="urn:microsoft.com/office/officeart/2005/8/layout/orgChart1"/>
    <dgm:cxn modelId="{DA8C699F-5CFB-4A36-8D07-8246B16EBD69}" type="presParOf" srcId="{55BA5B2C-82B3-4E1B-AD9B-C3B48EBB96DE}" destId="{879D7DDB-6D57-45F1-9760-C971228BD9A9}" srcOrd="0" destOrd="0" presId="urn:microsoft.com/office/officeart/2005/8/layout/orgChart1"/>
    <dgm:cxn modelId="{8CDCAFA1-893B-47C3-B277-2FFC3DF71853}" type="presParOf" srcId="{55BA5B2C-82B3-4E1B-AD9B-C3B48EBB96DE}" destId="{4054A5E3-66DB-48AD-827B-5D52F0F33466}" srcOrd="1" destOrd="0" presId="urn:microsoft.com/office/officeart/2005/8/layout/orgChart1"/>
    <dgm:cxn modelId="{9CC3DCA2-1CE4-4BC6-8124-DA5BDFD0A32A}" type="presParOf" srcId="{DA464B7B-2E34-48D8-94FC-812437C1C1FE}" destId="{0E68DAF7-DEBE-4FD2-8402-F7BCDE0B25AC}" srcOrd="1" destOrd="0" presId="urn:microsoft.com/office/officeart/2005/8/layout/orgChart1"/>
    <dgm:cxn modelId="{55E6DDC2-7DAC-4106-BBE4-49C90AB176E1}" type="presParOf" srcId="{DA464B7B-2E34-48D8-94FC-812437C1C1FE}" destId="{C8E3E94C-5B5E-4FED-ABCD-2C76C4249C3C}" srcOrd="2" destOrd="0" presId="urn:microsoft.com/office/officeart/2005/8/layout/orgChart1"/>
    <dgm:cxn modelId="{0469E875-2C12-4466-85D4-3E458C8E534C}" type="presParOf" srcId="{F55B0B48-7887-4B98-B5FB-E77396362501}" destId="{6A59DCE0-4241-4B53-8A96-9B6A0FCC668F}" srcOrd="2" destOrd="0" presId="urn:microsoft.com/office/officeart/2005/8/layout/orgChart1"/>
    <dgm:cxn modelId="{715A45C5-5099-495E-A4D8-816ECDB8B66B}" type="presParOf" srcId="{F55B0B48-7887-4B98-B5FB-E77396362501}" destId="{4E90B911-8A42-440B-A69F-A7136A3856C3}" srcOrd="3" destOrd="0" presId="urn:microsoft.com/office/officeart/2005/8/layout/orgChart1"/>
    <dgm:cxn modelId="{8A5B19E1-54F7-445A-9851-51D817584A32}" type="presParOf" srcId="{4E90B911-8A42-440B-A69F-A7136A3856C3}" destId="{F711AE13-4ACC-4284-BB52-B410093EC0B8}" srcOrd="0" destOrd="0" presId="urn:microsoft.com/office/officeart/2005/8/layout/orgChart1"/>
    <dgm:cxn modelId="{A029DE2D-BE0E-4B3C-96BD-4CE83CD33278}" type="presParOf" srcId="{F711AE13-4ACC-4284-BB52-B410093EC0B8}" destId="{D3BCD818-05E2-43DB-8B07-B973E3BB1A75}" srcOrd="0" destOrd="0" presId="urn:microsoft.com/office/officeart/2005/8/layout/orgChart1"/>
    <dgm:cxn modelId="{43DC2F3B-3D50-4929-92CA-219A176AB732}" type="presParOf" srcId="{F711AE13-4ACC-4284-BB52-B410093EC0B8}" destId="{F0156BB2-29C1-4FE3-AF9B-7171057D2687}" srcOrd="1" destOrd="0" presId="urn:microsoft.com/office/officeart/2005/8/layout/orgChart1"/>
    <dgm:cxn modelId="{0171E0CE-9737-483B-BE7A-A6A1F8CB6844}" type="presParOf" srcId="{4E90B911-8A42-440B-A69F-A7136A3856C3}" destId="{BF9F6EDC-5E58-4F5A-86D4-B78A9A706D47}" srcOrd="1" destOrd="0" presId="urn:microsoft.com/office/officeart/2005/8/layout/orgChart1"/>
    <dgm:cxn modelId="{72262619-2872-485C-90AE-88A2096443E4}" type="presParOf" srcId="{4E90B911-8A42-440B-A69F-A7136A3856C3}" destId="{444EAF58-178B-40A4-B9DB-4F9882E354A5}" srcOrd="2" destOrd="0" presId="urn:microsoft.com/office/officeart/2005/8/layout/orgChart1"/>
    <dgm:cxn modelId="{27106996-D331-4C8C-806A-F123E6902778}" type="presParOf" srcId="{F55B0B48-7887-4B98-B5FB-E77396362501}" destId="{FF6E6CD2-93D5-423A-9B51-10FC5E15C604}" srcOrd="4" destOrd="0" presId="urn:microsoft.com/office/officeart/2005/8/layout/orgChart1"/>
    <dgm:cxn modelId="{C2F72A9C-81A8-4494-9EFB-D600D1D97317}" type="presParOf" srcId="{F55B0B48-7887-4B98-B5FB-E77396362501}" destId="{28512CE5-3DF8-4DFA-9644-6C25DA82B93A}" srcOrd="5" destOrd="0" presId="urn:microsoft.com/office/officeart/2005/8/layout/orgChart1"/>
    <dgm:cxn modelId="{42D361F8-42DC-4BD8-9C68-491077CDBEDE}" type="presParOf" srcId="{28512CE5-3DF8-4DFA-9644-6C25DA82B93A}" destId="{69CA5753-196D-4186-AECF-92EF954F76EF}" srcOrd="0" destOrd="0" presId="urn:microsoft.com/office/officeart/2005/8/layout/orgChart1"/>
    <dgm:cxn modelId="{51516F8B-E697-4019-AF70-6C8B3BF26101}" type="presParOf" srcId="{69CA5753-196D-4186-AECF-92EF954F76EF}" destId="{FD0CB807-2A95-45BC-B445-35F0D5F15DA0}" srcOrd="0" destOrd="0" presId="urn:microsoft.com/office/officeart/2005/8/layout/orgChart1"/>
    <dgm:cxn modelId="{07AF87B2-FAE0-460C-B94B-D8EABAA7315A}" type="presParOf" srcId="{69CA5753-196D-4186-AECF-92EF954F76EF}" destId="{07E69862-A17D-42AD-9670-5CE859A7386F}" srcOrd="1" destOrd="0" presId="urn:microsoft.com/office/officeart/2005/8/layout/orgChart1"/>
    <dgm:cxn modelId="{9541CBCD-D460-4AC8-80F4-1B17AEF40C06}" type="presParOf" srcId="{28512CE5-3DF8-4DFA-9644-6C25DA82B93A}" destId="{B7C291D0-BFA7-4F08-B6AC-E22F709F0257}" srcOrd="1" destOrd="0" presId="urn:microsoft.com/office/officeart/2005/8/layout/orgChart1"/>
    <dgm:cxn modelId="{FBD24DA1-4C74-45BC-998D-A192D4AC001E}" type="presParOf" srcId="{28512CE5-3DF8-4DFA-9644-6C25DA82B93A}" destId="{40552ACE-33E0-47DD-87A8-7437B83FD61F}" srcOrd="2" destOrd="0" presId="urn:microsoft.com/office/officeart/2005/8/layout/orgChart1"/>
    <dgm:cxn modelId="{6B265F46-423F-4D56-BC13-91762A8EA351}" type="presParOf" srcId="{DEB88FA8-E057-4F88-95DE-9CAC0D6E66E5}" destId="{8D2E507D-E3E6-4F90-B115-0C06342C3603}" srcOrd="2" destOrd="0" presId="urn:microsoft.com/office/officeart/2005/8/layout/orgChart1"/>
    <dgm:cxn modelId="{E94F66AE-3962-47A9-94B4-EBA866B525B7}" type="presParOf" srcId="{8D2E507D-E3E6-4F90-B115-0C06342C3603}" destId="{7BD496D7-17BF-4A43-8AFC-A0CCBE708C15}" srcOrd="0" destOrd="0" presId="urn:microsoft.com/office/officeart/2005/8/layout/orgChart1"/>
    <dgm:cxn modelId="{9D9EA2E1-9E7C-42AD-AE36-9C533A9D3197}" type="presParOf" srcId="{8D2E507D-E3E6-4F90-B115-0C06342C3603}" destId="{0A767BC0-2F6D-4D43-A0FB-A231009CBD05}" srcOrd="1" destOrd="0" presId="urn:microsoft.com/office/officeart/2005/8/layout/orgChart1"/>
    <dgm:cxn modelId="{77AC170B-79B6-4050-B95F-27718464F9BE}" type="presParOf" srcId="{0A767BC0-2F6D-4D43-A0FB-A231009CBD05}" destId="{CFEDB293-40CD-497F-A84F-5B0E5D13DAA5}" srcOrd="0" destOrd="0" presId="urn:microsoft.com/office/officeart/2005/8/layout/orgChart1"/>
    <dgm:cxn modelId="{3BDF5AC6-5C22-4285-8C04-5A4CE6F530E6}" type="presParOf" srcId="{CFEDB293-40CD-497F-A84F-5B0E5D13DAA5}" destId="{027CA1EF-E0E5-4FE1-9111-CDCA99F05698}" srcOrd="0" destOrd="0" presId="urn:microsoft.com/office/officeart/2005/8/layout/orgChart1"/>
    <dgm:cxn modelId="{8868EE22-266B-47C7-B56B-898EA51BDB63}" type="presParOf" srcId="{CFEDB293-40CD-497F-A84F-5B0E5D13DAA5}" destId="{EB2735CC-C2B0-49DB-875C-37C9C5D4A398}" srcOrd="1" destOrd="0" presId="urn:microsoft.com/office/officeart/2005/8/layout/orgChart1"/>
    <dgm:cxn modelId="{CBE57C6C-5E46-48E0-A6AB-3507778C74BB}" type="presParOf" srcId="{0A767BC0-2F6D-4D43-A0FB-A231009CBD05}" destId="{6BA9CCA2-27A5-4554-9C1B-2B352F9C2F4C}" srcOrd="1" destOrd="0" presId="urn:microsoft.com/office/officeart/2005/8/layout/orgChart1"/>
    <dgm:cxn modelId="{D5B322BD-22A7-449C-8267-8184A914C90F}" type="presParOf" srcId="{0A767BC0-2F6D-4D43-A0FB-A231009CBD05}" destId="{6DBE3BA0-5FC4-49CE-8310-FF97051C763B}" srcOrd="2" destOrd="0" presId="urn:microsoft.com/office/officeart/2005/8/layout/orgChart1"/>
    <dgm:cxn modelId="{6136B1B1-1E62-489B-9481-8FF28B78326F}" type="presParOf" srcId="{8D2E507D-E3E6-4F90-B115-0C06342C3603}" destId="{B76E795B-9B74-4E40-B879-739E6F20ADA6}" srcOrd="2" destOrd="0" presId="urn:microsoft.com/office/officeart/2005/8/layout/orgChart1"/>
    <dgm:cxn modelId="{9D888149-06AD-46B5-9A0B-C57FCB445E07}" type="presParOf" srcId="{8D2E507D-E3E6-4F90-B115-0C06342C3603}" destId="{C80F899D-0D9D-4F2B-A781-A4D8957AAD46}" srcOrd="3" destOrd="0" presId="urn:microsoft.com/office/officeart/2005/8/layout/orgChart1"/>
    <dgm:cxn modelId="{15DBB8C5-0DBB-43AA-BB3C-F6D7B13BD3EF}" type="presParOf" srcId="{C80F899D-0D9D-4F2B-A781-A4D8957AAD46}" destId="{1A1D4E7C-A4EA-46F1-BAFC-DCE96F25AB2A}" srcOrd="0" destOrd="0" presId="urn:microsoft.com/office/officeart/2005/8/layout/orgChart1"/>
    <dgm:cxn modelId="{2380437A-EDF5-4684-AF78-AD501D34BD3A}" type="presParOf" srcId="{1A1D4E7C-A4EA-46F1-BAFC-DCE96F25AB2A}" destId="{CE9864D7-76F8-4F76-A8A9-64E33A8CBB08}" srcOrd="0" destOrd="0" presId="urn:microsoft.com/office/officeart/2005/8/layout/orgChart1"/>
    <dgm:cxn modelId="{647D36EE-D6B8-462E-8AC2-48C11D77FAB7}" type="presParOf" srcId="{1A1D4E7C-A4EA-46F1-BAFC-DCE96F25AB2A}" destId="{277E0B9F-10B2-455D-92F9-6E88921546CC}" srcOrd="1" destOrd="0" presId="urn:microsoft.com/office/officeart/2005/8/layout/orgChart1"/>
    <dgm:cxn modelId="{6AB0CC20-73BC-4D93-A14B-2BA665B36C6E}" type="presParOf" srcId="{C80F899D-0D9D-4F2B-A781-A4D8957AAD46}" destId="{7D8333F7-FD2C-4799-B4A6-F0AA213C680F}" srcOrd="1" destOrd="0" presId="urn:microsoft.com/office/officeart/2005/8/layout/orgChart1"/>
    <dgm:cxn modelId="{89110589-77F9-4878-A514-D354BA85F8BD}" type="presParOf" srcId="{C80F899D-0D9D-4F2B-A781-A4D8957AAD46}" destId="{3C713985-1114-4E8C-A190-31189F054FD4}" srcOrd="2" destOrd="0" presId="urn:microsoft.com/office/officeart/2005/8/layout/orgChart1"/>
  </dgm:cxnLst>
  <dgm:bg/>
  <dgm:whole/>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B76E795B-9B74-4E40-B879-739E6F20ADA6}">
      <dsp:nvSpPr>
        <dsp:cNvPr id="0" name=""/>
        <dsp:cNvSpPr/>
      </dsp:nvSpPr>
      <dsp:spPr>
        <a:xfrm>
          <a:off x="3043554" y="621714"/>
          <a:ext cx="130294" cy="570815"/>
        </a:xfrm>
        <a:custGeom>
          <a:avLst/>
          <a:gdLst/>
          <a:ahLst/>
          <a:cxnLst/>
          <a:rect l="0" t="0" r="0" b="0"/>
          <a:pathLst>
            <a:path>
              <a:moveTo>
                <a:pt x="0" y="0"/>
              </a:moveTo>
              <a:lnTo>
                <a:pt x="0" y="570815"/>
              </a:lnTo>
              <a:lnTo>
                <a:pt x="130294" y="57081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BD496D7-17BF-4A43-8AFC-A0CCBE708C15}">
      <dsp:nvSpPr>
        <dsp:cNvPr id="0" name=""/>
        <dsp:cNvSpPr/>
      </dsp:nvSpPr>
      <dsp:spPr>
        <a:xfrm>
          <a:off x="2913260" y="621714"/>
          <a:ext cx="130294" cy="570815"/>
        </a:xfrm>
        <a:custGeom>
          <a:avLst/>
          <a:gdLst/>
          <a:ahLst/>
          <a:cxnLst/>
          <a:rect l="0" t="0" r="0" b="0"/>
          <a:pathLst>
            <a:path>
              <a:moveTo>
                <a:pt x="130294" y="0"/>
              </a:moveTo>
              <a:lnTo>
                <a:pt x="130294" y="570815"/>
              </a:lnTo>
              <a:lnTo>
                <a:pt x="0" y="57081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F6E6CD2-93D5-423A-9B51-10FC5E15C604}">
      <dsp:nvSpPr>
        <dsp:cNvPr id="0" name=""/>
        <dsp:cNvSpPr/>
      </dsp:nvSpPr>
      <dsp:spPr>
        <a:xfrm>
          <a:off x="3043554" y="621714"/>
          <a:ext cx="1501492" cy="1141630"/>
        </a:xfrm>
        <a:custGeom>
          <a:avLst/>
          <a:gdLst/>
          <a:ahLst/>
          <a:cxnLst/>
          <a:rect l="0" t="0" r="0" b="0"/>
          <a:pathLst>
            <a:path>
              <a:moveTo>
                <a:pt x="0" y="0"/>
              </a:moveTo>
              <a:lnTo>
                <a:pt x="0" y="1011335"/>
              </a:lnTo>
              <a:lnTo>
                <a:pt x="1501492" y="1011335"/>
              </a:lnTo>
              <a:lnTo>
                <a:pt x="1501492" y="114163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A59DCE0-4241-4B53-8A96-9B6A0FCC668F}">
      <dsp:nvSpPr>
        <dsp:cNvPr id="0" name=""/>
        <dsp:cNvSpPr/>
      </dsp:nvSpPr>
      <dsp:spPr>
        <a:xfrm>
          <a:off x="2997834" y="621714"/>
          <a:ext cx="91440" cy="1141630"/>
        </a:xfrm>
        <a:custGeom>
          <a:avLst/>
          <a:gdLst/>
          <a:ahLst/>
          <a:cxnLst/>
          <a:rect l="0" t="0" r="0" b="0"/>
          <a:pathLst>
            <a:path>
              <a:moveTo>
                <a:pt x="45720" y="0"/>
              </a:moveTo>
              <a:lnTo>
                <a:pt x="45720" y="114163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034E073-F410-4CC6-A9FF-611EE20144F5}">
      <dsp:nvSpPr>
        <dsp:cNvPr id="0" name=""/>
        <dsp:cNvSpPr/>
      </dsp:nvSpPr>
      <dsp:spPr>
        <a:xfrm>
          <a:off x="1542062" y="621714"/>
          <a:ext cx="1501492" cy="1141630"/>
        </a:xfrm>
        <a:custGeom>
          <a:avLst/>
          <a:gdLst/>
          <a:ahLst/>
          <a:cxnLst/>
          <a:rect l="0" t="0" r="0" b="0"/>
          <a:pathLst>
            <a:path>
              <a:moveTo>
                <a:pt x="1501492" y="0"/>
              </a:moveTo>
              <a:lnTo>
                <a:pt x="1501492" y="1011335"/>
              </a:lnTo>
              <a:lnTo>
                <a:pt x="0" y="1011335"/>
              </a:lnTo>
              <a:lnTo>
                <a:pt x="0" y="114163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3768ACD-B68E-49AD-B0B2-B4D9FDBCAD4F}">
      <dsp:nvSpPr>
        <dsp:cNvPr id="0" name=""/>
        <dsp:cNvSpPr/>
      </dsp:nvSpPr>
      <dsp:spPr>
        <a:xfrm>
          <a:off x="2423103" y="1263"/>
          <a:ext cx="1240902" cy="62045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R="0" lvl="0" algn="ctr" defTabSz="577850" rtl="0">
            <a:lnSpc>
              <a:spcPct val="90000"/>
            </a:lnSpc>
            <a:spcBef>
              <a:spcPct val="0"/>
            </a:spcBef>
            <a:spcAft>
              <a:spcPct val="35000"/>
            </a:spcAft>
          </a:pPr>
          <a:r>
            <a:rPr lang="it-IT" sz="1300" kern="1200" baseline="0" smtClean="0">
              <a:latin typeface="Calibri"/>
            </a:rPr>
            <a:t>Amministratore Unico (1)</a:t>
          </a:r>
        </a:p>
      </dsp:txBody>
      <dsp:txXfrm>
        <a:off x="2423103" y="1263"/>
        <a:ext cx="1240902" cy="620451"/>
      </dsp:txXfrm>
    </dsp:sp>
    <dsp:sp modelId="{879D7DDB-6D57-45F1-9760-C971228BD9A9}">
      <dsp:nvSpPr>
        <dsp:cNvPr id="0" name=""/>
        <dsp:cNvSpPr/>
      </dsp:nvSpPr>
      <dsp:spPr>
        <a:xfrm>
          <a:off x="921611" y="1763345"/>
          <a:ext cx="1240902" cy="62045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R="0" lvl="0" algn="ctr" defTabSz="577850" rtl="0">
            <a:lnSpc>
              <a:spcPct val="90000"/>
            </a:lnSpc>
            <a:spcBef>
              <a:spcPct val="0"/>
            </a:spcBef>
            <a:spcAft>
              <a:spcPct val="35000"/>
            </a:spcAft>
          </a:pPr>
          <a:r>
            <a:rPr lang="it-IT" sz="1300" kern="1200" baseline="0" smtClean="0">
              <a:latin typeface="Calibri"/>
            </a:rPr>
            <a:t>Scuola Sanita (4)</a:t>
          </a:r>
          <a:endParaRPr lang="it-IT" sz="1300" kern="1200" smtClean="0"/>
        </a:p>
      </dsp:txBody>
      <dsp:txXfrm>
        <a:off x="921611" y="1763345"/>
        <a:ext cx="1240902" cy="620451"/>
      </dsp:txXfrm>
    </dsp:sp>
    <dsp:sp modelId="{D3BCD818-05E2-43DB-8B07-B973E3BB1A75}">
      <dsp:nvSpPr>
        <dsp:cNvPr id="0" name=""/>
        <dsp:cNvSpPr/>
      </dsp:nvSpPr>
      <dsp:spPr>
        <a:xfrm>
          <a:off x="2423103" y="1763345"/>
          <a:ext cx="1240902" cy="62045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R="0" lvl="0" algn="ctr" defTabSz="577850" rtl="0">
            <a:lnSpc>
              <a:spcPct val="90000"/>
            </a:lnSpc>
            <a:spcBef>
              <a:spcPct val="0"/>
            </a:spcBef>
            <a:spcAft>
              <a:spcPct val="35000"/>
            </a:spcAft>
          </a:pPr>
          <a:r>
            <a:rPr lang="it-IT" sz="1300" kern="1200" baseline="0" smtClean="0">
              <a:latin typeface="Calibri"/>
            </a:rPr>
            <a:t>Ufficio Patrimonio Beni Immobili e Mobili (1)</a:t>
          </a:r>
          <a:endParaRPr lang="it-IT" sz="1300" kern="1200" smtClean="0"/>
        </a:p>
      </dsp:txBody>
      <dsp:txXfrm>
        <a:off x="2423103" y="1763345"/>
        <a:ext cx="1240902" cy="620451"/>
      </dsp:txXfrm>
    </dsp:sp>
    <dsp:sp modelId="{FD0CB807-2A95-45BC-B445-35F0D5F15DA0}">
      <dsp:nvSpPr>
        <dsp:cNvPr id="0" name=""/>
        <dsp:cNvSpPr/>
      </dsp:nvSpPr>
      <dsp:spPr>
        <a:xfrm>
          <a:off x="3924595" y="1763345"/>
          <a:ext cx="1240902" cy="62045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R="0" lvl="0" algn="ctr" defTabSz="577850" rtl="0">
            <a:lnSpc>
              <a:spcPct val="90000"/>
            </a:lnSpc>
            <a:spcBef>
              <a:spcPct val="0"/>
            </a:spcBef>
            <a:spcAft>
              <a:spcPct val="35000"/>
            </a:spcAft>
          </a:pPr>
          <a:r>
            <a:rPr lang="it-IT" sz="1300" kern="1200" baseline="0" smtClean="0">
              <a:latin typeface="Calibri"/>
            </a:rPr>
            <a:t>Servizio Trasporti Beni di Magazzino e Farmaci (1)</a:t>
          </a:r>
          <a:endParaRPr lang="it-IT" sz="1300" kern="1200" smtClean="0"/>
        </a:p>
      </dsp:txBody>
      <dsp:txXfrm>
        <a:off x="3924595" y="1763345"/>
        <a:ext cx="1240902" cy="620451"/>
      </dsp:txXfrm>
    </dsp:sp>
    <dsp:sp modelId="{027CA1EF-E0E5-4FE1-9111-CDCA99F05698}">
      <dsp:nvSpPr>
        <dsp:cNvPr id="0" name=""/>
        <dsp:cNvSpPr/>
      </dsp:nvSpPr>
      <dsp:spPr>
        <a:xfrm>
          <a:off x="1672357" y="882304"/>
          <a:ext cx="1240902" cy="62045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R="0" lvl="0" algn="ctr" defTabSz="577850" rtl="0">
            <a:lnSpc>
              <a:spcPct val="90000"/>
            </a:lnSpc>
            <a:spcBef>
              <a:spcPct val="0"/>
            </a:spcBef>
            <a:spcAft>
              <a:spcPct val="35000"/>
            </a:spcAft>
          </a:pPr>
          <a:r>
            <a:rPr lang="it-IT" sz="1300" kern="1200" baseline="0" smtClean="0">
              <a:latin typeface="Calibri"/>
            </a:rPr>
            <a:t>Responsabile Anticorruzione e Trasparenza</a:t>
          </a:r>
          <a:endParaRPr lang="it-IT" sz="1300" kern="1200" smtClean="0"/>
        </a:p>
      </dsp:txBody>
      <dsp:txXfrm>
        <a:off x="1672357" y="882304"/>
        <a:ext cx="1240902" cy="620451"/>
      </dsp:txXfrm>
    </dsp:sp>
    <dsp:sp modelId="{CE9864D7-76F8-4F76-A8A9-64E33A8CBB08}">
      <dsp:nvSpPr>
        <dsp:cNvPr id="0" name=""/>
        <dsp:cNvSpPr/>
      </dsp:nvSpPr>
      <dsp:spPr>
        <a:xfrm>
          <a:off x="3173849" y="882304"/>
          <a:ext cx="1240902" cy="62045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R="0" lvl="0" algn="ctr" defTabSz="577850" rtl="0">
            <a:lnSpc>
              <a:spcPct val="90000"/>
            </a:lnSpc>
            <a:spcBef>
              <a:spcPct val="0"/>
            </a:spcBef>
            <a:spcAft>
              <a:spcPct val="35000"/>
            </a:spcAft>
          </a:pPr>
          <a:r>
            <a:rPr lang="it-IT" sz="1300" kern="1200" baseline="0" smtClean="0">
              <a:latin typeface="Calibri"/>
            </a:rPr>
            <a:t>Direttore Amministrativo (1)</a:t>
          </a:r>
          <a:endParaRPr lang="it-IT" sz="1300" kern="1200" smtClean="0"/>
        </a:p>
      </dsp:txBody>
      <dsp:txXfrm>
        <a:off x="3173849" y="882304"/>
        <a:ext cx="1240902" cy="62045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936072-D90C-4877-960E-93069801C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21</Pages>
  <Words>7538</Words>
  <Characters>42973</Characters>
  <Application>Microsoft Office Word</Application>
  <DocSecurity>0</DocSecurity>
  <Lines>358</Lines>
  <Paragraphs>100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abenato</dc:creator>
  <cp:lastModifiedBy>epietroboni</cp:lastModifiedBy>
  <cp:revision>3</cp:revision>
  <cp:lastPrinted>2018-01-25T13:17:00Z</cp:lastPrinted>
  <dcterms:created xsi:type="dcterms:W3CDTF">2024-05-27T14:07:00Z</dcterms:created>
  <dcterms:modified xsi:type="dcterms:W3CDTF">2024-05-27T14:14:00Z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